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B9E51" w14:textId="6E4CC74D" w:rsidR="0068377E" w:rsidRPr="002A1F82" w:rsidRDefault="002A1F82" w:rsidP="002A1F82">
      <w:pPr>
        <w:jc w:val="center"/>
        <w:rPr>
          <w:b/>
          <w:bCs/>
          <w:sz w:val="24"/>
          <w:szCs w:val="24"/>
        </w:rPr>
      </w:pPr>
      <w:r w:rsidRPr="002A1F82">
        <w:rPr>
          <w:b/>
          <w:bCs/>
          <w:sz w:val="24"/>
          <w:szCs w:val="24"/>
        </w:rPr>
        <w:t>Workshop exercises for Writing to be Published, Found, and Read</w:t>
      </w:r>
    </w:p>
    <w:p w14:paraId="414A6B55" w14:textId="5F0464DC" w:rsidR="002A1F82" w:rsidRDefault="002A1F82"/>
    <w:p w14:paraId="77C91730" w14:textId="77777777" w:rsidR="002A1F82" w:rsidRPr="002A1F82" w:rsidRDefault="002A1F82" w:rsidP="002A1F82">
      <w:r>
        <w:t xml:space="preserve">Exercise 1: </w:t>
      </w:r>
      <w:r w:rsidRPr="002A1F82">
        <w:rPr>
          <w:i/>
          <w:iCs/>
        </w:rPr>
        <w:t>Identify the keywords in the following title and abstract</w:t>
      </w:r>
    </w:p>
    <w:p w14:paraId="788B9734" w14:textId="77777777" w:rsidR="002A1F82" w:rsidRPr="002A1F82" w:rsidRDefault="002A1F82" w:rsidP="002A1F82">
      <w:pPr>
        <w:rPr>
          <w:b/>
          <w:bCs/>
        </w:rPr>
      </w:pPr>
      <w:r w:rsidRPr="002A1F82">
        <w:rPr>
          <w:b/>
          <w:bCs/>
        </w:rPr>
        <w:t>Electrocaloric Behavior and Temperature‐Dependent Scaling of Dynamic Hysteresis of Ba</w:t>
      </w:r>
      <w:r w:rsidRPr="002A1F82">
        <w:rPr>
          <w:b/>
          <w:bCs/>
          <w:vertAlign w:val="subscript"/>
        </w:rPr>
        <w:t>0.85</w:t>
      </w:r>
      <w:r w:rsidRPr="002A1F82">
        <w:rPr>
          <w:b/>
          <w:bCs/>
        </w:rPr>
        <w:t>Ca</w:t>
      </w:r>
      <w:r w:rsidRPr="002A1F82">
        <w:rPr>
          <w:b/>
          <w:bCs/>
          <w:vertAlign w:val="subscript"/>
        </w:rPr>
        <w:t>0.15</w:t>
      </w:r>
      <w:r w:rsidRPr="002A1F82">
        <w:rPr>
          <w:b/>
          <w:bCs/>
        </w:rPr>
        <w:t>Ti</w:t>
      </w:r>
      <w:r w:rsidRPr="002A1F82">
        <w:rPr>
          <w:b/>
          <w:bCs/>
          <w:vertAlign w:val="subscript"/>
        </w:rPr>
        <w:t>0.9</w:t>
      </w:r>
      <w:r w:rsidRPr="002A1F82">
        <w:rPr>
          <w:b/>
          <w:bCs/>
        </w:rPr>
        <w:t>Zr</w:t>
      </w:r>
      <w:r w:rsidRPr="002A1F82">
        <w:rPr>
          <w:b/>
          <w:bCs/>
          <w:vertAlign w:val="subscript"/>
        </w:rPr>
        <w:t>0.1</w:t>
      </w:r>
      <w:r w:rsidRPr="002A1F82">
        <w:rPr>
          <w:b/>
          <w:bCs/>
        </w:rPr>
        <w:t>O</w:t>
      </w:r>
      <w:r w:rsidRPr="002A1F82">
        <w:rPr>
          <w:b/>
          <w:bCs/>
          <w:vertAlign w:val="subscript"/>
        </w:rPr>
        <w:t>3</w:t>
      </w:r>
      <w:r w:rsidRPr="002A1F82">
        <w:rPr>
          <w:b/>
          <w:bCs/>
        </w:rPr>
        <w:t xml:space="preserve"> Ceramics</w:t>
      </w:r>
    </w:p>
    <w:p w14:paraId="1E348F04" w14:textId="77777777" w:rsidR="002A1F82" w:rsidRPr="002A1F82" w:rsidRDefault="002A1F82" w:rsidP="002A1F82">
      <w:r w:rsidRPr="002A1F82">
        <w:br/>
        <w:t>This article presents electrocaloric effect in Ba</w:t>
      </w:r>
      <w:r w:rsidRPr="002A1F82">
        <w:rPr>
          <w:vertAlign w:val="subscript"/>
        </w:rPr>
        <w:t>0.85</w:t>
      </w:r>
      <w:r w:rsidRPr="002A1F82">
        <w:t>Ca</w:t>
      </w:r>
      <w:r w:rsidRPr="002A1F82">
        <w:rPr>
          <w:vertAlign w:val="subscript"/>
        </w:rPr>
        <w:t>0.15</w:t>
      </w:r>
      <w:r w:rsidRPr="002A1F82">
        <w:t>Ti</w:t>
      </w:r>
      <w:r w:rsidRPr="002A1F82">
        <w:rPr>
          <w:vertAlign w:val="subscript"/>
        </w:rPr>
        <w:t>0.9</w:t>
      </w:r>
      <w:r w:rsidRPr="002A1F82">
        <w:t>Zr</w:t>
      </w:r>
      <w:r w:rsidRPr="002A1F82">
        <w:rPr>
          <w:vertAlign w:val="subscript"/>
        </w:rPr>
        <w:t>0.1</w:t>
      </w:r>
      <w:r w:rsidRPr="002A1F82">
        <w:t>O</w:t>
      </w:r>
      <w:r w:rsidRPr="002A1F82">
        <w:rPr>
          <w:vertAlign w:val="subscript"/>
        </w:rPr>
        <w:t>3</w:t>
      </w:r>
      <w:r w:rsidRPr="002A1F82">
        <w:t xml:space="preserve"> (BCTZO) using an indirect approach based on Maxwell's relations. The peak electrocaloric performance is found to be an adiabatic temperature change of 0.41 K with electrocaloric strength of 19 </w:t>
      </w:r>
      <w:proofErr w:type="spellStart"/>
      <w:r w:rsidRPr="002A1F82">
        <w:t>mK</w:t>
      </w:r>
      <w:proofErr w:type="spellEnd"/>
      <w:r w:rsidRPr="002A1F82">
        <w:t xml:space="preserve"> cm/kV and a </w:t>
      </w:r>
      <w:r w:rsidRPr="002A1F82">
        <w:br/>
        <w:t>heat carrying capacity of ~0.17 J/g under an electric field of 0–21.5 kV/cm. The ferroelectric hysteresis scaling relations for coercive field (</w:t>
      </w:r>
      <w:proofErr w:type="spellStart"/>
      <w:r w:rsidRPr="002A1F82">
        <w:t>E</w:t>
      </w:r>
      <w:r w:rsidRPr="002A1F82">
        <w:rPr>
          <w:vertAlign w:val="subscript"/>
        </w:rPr>
        <w:t>c</w:t>
      </w:r>
      <w:proofErr w:type="spellEnd"/>
      <w:r w:rsidRPr="002A1F82">
        <w:t>), remnant polarization (</w:t>
      </w:r>
      <w:proofErr w:type="spellStart"/>
      <w:r w:rsidRPr="002A1F82">
        <w:t>P</w:t>
      </w:r>
      <w:r w:rsidRPr="002A1F82">
        <w:rPr>
          <w:vertAlign w:val="subscript"/>
        </w:rPr>
        <w:t>r</w:t>
      </w:r>
      <w:proofErr w:type="spellEnd"/>
      <w:r w:rsidRPr="002A1F82">
        <w:t xml:space="preserve">), and hysteresis </w:t>
      </w:r>
      <w:r w:rsidRPr="002A1F82">
        <w:br/>
        <w:t xml:space="preserve">area (&lt;A&gt;) as a function of temperature (T) are also systematically investigated. The power‐law temperature exponents are obtained for all the hysteresis parameters. The scaling relations are established as </w:t>
      </w:r>
      <w:proofErr w:type="spellStart"/>
      <w:r w:rsidRPr="002A1F82">
        <w:t>E</w:t>
      </w:r>
      <w:r w:rsidRPr="002A1F82">
        <w:rPr>
          <w:vertAlign w:val="subscript"/>
        </w:rPr>
        <w:t>c</w:t>
      </w:r>
      <w:proofErr w:type="spellEnd"/>
      <w:r w:rsidRPr="002A1F82">
        <w:t xml:space="preserve"> </w:t>
      </w:r>
      <w:r w:rsidRPr="002A1F82">
        <w:rPr>
          <w:rFonts w:ascii="Cambria Math" w:hAnsi="Cambria Math" w:cs="Cambria Math"/>
        </w:rPr>
        <w:t>∝</w:t>
      </w:r>
      <w:r w:rsidRPr="002A1F82">
        <w:t xml:space="preserve"> T</w:t>
      </w:r>
      <w:r w:rsidRPr="002A1F82">
        <w:rPr>
          <w:vertAlign w:val="superscript"/>
        </w:rPr>
        <w:t>−0.6584</w:t>
      </w:r>
      <w:r w:rsidRPr="002A1F82">
        <w:t xml:space="preserve">, </w:t>
      </w:r>
      <w:proofErr w:type="spellStart"/>
      <w:r w:rsidRPr="002A1F82">
        <w:t>P</w:t>
      </w:r>
      <w:r w:rsidRPr="002A1F82">
        <w:rPr>
          <w:vertAlign w:val="subscript"/>
        </w:rPr>
        <w:t>r</w:t>
      </w:r>
      <w:proofErr w:type="spellEnd"/>
      <w:r w:rsidRPr="002A1F82">
        <w:t xml:space="preserve"> </w:t>
      </w:r>
      <w:r w:rsidRPr="002A1F82">
        <w:rPr>
          <w:rFonts w:ascii="Cambria Math" w:hAnsi="Cambria Math" w:cs="Cambria Math"/>
        </w:rPr>
        <w:t>∝</w:t>
      </w:r>
      <w:r w:rsidRPr="002A1F82">
        <w:t xml:space="preserve"> T</w:t>
      </w:r>
      <w:r w:rsidRPr="002A1F82">
        <w:rPr>
          <w:vertAlign w:val="superscript"/>
        </w:rPr>
        <w:t>−1.59</w:t>
      </w:r>
      <w:r w:rsidRPr="002A1F82">
        <w:t xml:space="preserve">, and &lt;A&gt; </w:t>
      </w:r>
      <w:r w:rsidRPr="002A1F82">
        <w:rPr>
          <w:rFonts w:ascii="Cambria Math" w:hAnsi="Cambria Math" w:cs="Cambria Math"/>
        </w:rPr>
        <w:t>∝</w:t>
      </w:r>
      <w:r w:rsidRPr="002A1F82">
        <w:t xml:space="preserve"> T</w:t>
      </w:r>
      <w:r w:rsidRPr="002A1F82">
        <w:rPr>
          <w:vertAlign w:val="superscript"/>
        </w:rPr>
        <w:t>−1.01623</w:t>
      </w:r>
      <w:r w:rsidRPr="002A1F82">
        <w:t>. The presented scaling relations are compared with those reported in the literature for other ferroelectric materials.</w:t>
      </w:r>
    </w:p>
    <w:p w14:paraId="28F348E6" w14:textId="77777777" w:rsidR="00D829AA" w:rsidRDefault="00D829AA"/>
    <w:p w14:paraId="35A72132" w14:textId="15AD005A" w:rsidR="00D829AA" w:rsidRDefault="002A1F82">
      <w:r>
        <w:br w:type="page"/>
      </w:r>
    </w:p>
    <w:p w14:paraId="7AEEACB5" w14:textId="316491C4" w:rsidR="002A1F82" w:rsidRDefault="002A1F82"/>
    <w:p w14:paraId="0CE62D05" w14:textId="77777777" w:rsidR="002A1F82" w:rsidRPr="002A1F82" w:rsidRDefault="002A1F82" w:rsidP="002A1F82">
      <w:r>
        <w:t xml:space="preserve">Exercise 2: </w:t>
      </w:r>
      <w:r w:rsidRPr="002A1F82">
        <w:rPr>
          <w:i/>
          <w:iCs/>
        </w:rPr>
        <w:t>Revise the title, putting important keywords first</w:t>
      </w:r>
    </w:p>
    <w:p w14:paraId="78CD0329" w14:textId="77777777" w:rsidR="002A1F82" w:rsidRDefault="002A1F82" w:rsidP="002A1F82">
      <w:pPr>
        <w:rPr>
          <w:b/>
          <w:bCs/>
        </w:rPr>
      </w:pPr>
    </w:p>
    <w:p w14:paraId="7559E2FE" w14:textId="32BC31BE" w:rsidR="002A1F82" w:rsidRPr="002A1F82" w:rsidRDefault="002A1F82" w:rsidP="002A1F82">
      <w:pPr>
        <w:rPr>
          <w:b/>
          <w:bCs/>
        </w:rPr>
      </w:pPr>
      <w:r w:rsidRPr="002A1F82">
        <w:rPr>
          <w:b/>
          <w:bCs/>
        </w:rPr>
        <w:t>Electrocaloric Behavior and Temperature‐Dependent Scaling of Dynamic Hysteresis of Ba</w:t>
      </w:r>
      <w:r w:rsidRPr="002A1F82">
        <w:rPr>
          <w:b/>
          <w:bCs/>
          <w:vertAlign w:val="subscript"/>
        </w:rPr>
        <w:t>0.85</w:t>
      </w:r>
      <w:r w:rsidRPr="002A1F82">
        <w:rPr>
          <w:b/>
          <w:bCs/>
        </w:rPr>
        <w:t>Ca</w:t>
      </w:r>
      <w:r w:rsidRPr="002A1F82">
        <w:rPr>
          <w:b/>
          <w:bCs/>
          <w:vertAlign w:val="subscript"/>
        </w:rPr>
        <w:t>0.15</w:t>
      </w:r>
      <w:r w:rsidRPr="002A1F82">
        <w:rPr>
          <w:b/>
          <w:bCs/>
        </w:rPr>
        <w:t>Ti</w:t>
      </w:r>
      <w:r w:rsidRPr="002A1F82">
        <w:rPr>
          <w:b/>
          <w:bCs/>
          <w:vertAlign w:val="subscript"/>
        </w:rPr>
        <w:t>0.9</w:t>
      </w:r>
      <w:r w:rsidRPr="002A1F82">
        <w:rPr>
          <w:b/>
          <w:bCs/>
        </w:rPr>
        <w:t>Zr</w:t>
      </w:r>
      <w:r w:rsidRPr="002A1F82">
        <w:rPr>
          <w:b/>
          <w:bCs/>
          <w:vertAlign w:val="subscript"/>
        </w:rPr>
        <w:t>0.1</w:t>
      </w:r>
      <w:r w:rsidRPr="002A1F82">
        <w:rPr>
          <w:b/>
          <w:bCs/>
        </w:rPr>
        <w:t>O</w:t>
      </w:r>
      <w:r w:rsidRPr="002A1F82">
        <w:rPr>
          <w:b/>
          <w:bCs/>
          <w:vertAlign w:val="subscript"/>
        </w:rPr>
        <w:t>3</w:t>
      </w:r>
      <w:r w:rsidRPr="002A1F82">
        <w:rPr>
          <w:b/>
          <w:bCs/>
        </w:rPr>
        <w:t xml:space="preserve"> Ceramics</w:t>
      </w:r>
    </w:p>
    <w:p w14:paraId="7A38E956" w14:textId="6BFF447D" w:rsidR="002A1F82" w:rsidRDefault="002A1F82">
      <w:r>
        <w:br w:type="page"/>
      </w:r>
    </w:p>
    <w:p w14:paraId="3AF34E58" w14:textId="23116534" w:rsidR="002A1F82" w:rsidRDefault="002A1F82"/>
    <w:p w14:paraId="6D64508F" w14:textId="0FDFA26D" w:rsidR="002A1F82" w:rsidRDefault="002A1F82">
      <w:r w:rsidRPr="002A1F82">
        <w:rPr>
          <w:b/>
          <w:bCs/>
        </w:rPr>
        <w:t>Instructions for exercises 3 and 4</w:t>
      </w:r>
    </w:p>
    <w:p w14:paraId="7040E65B" w14:textId="77777777" w:rsidR="002A1F82" w:rsidRDefault="002A1F82" w:rsidP="002A1F82">
      <w:r>
        <w:t xml:space="preserve">You will see the title, abstract, keywords, and conclusions from two papers.  </w:t>
      </w:r>
      <w:r>
        <w:t xml:space="preserve">These abstracts are acceptable for publication. But they can be improved. </w:t>
      </w:r>
      <w:r>
        <w:t>You</w:t>
      </w:r>
      <w:r>
        <w:t xml:space="preserve">r task is to </w:t>
      </w:r>
      <w:r>
        <w:t>revis</w:t>
      </w:r>
      <w:r>
        <w:t xml:space="preserve">e two </w:t>
      </w:r>
      <w:r>
        <w:t xml:space="preserve">abstracts to be read by both your colleagues and by search engines. </w:t>
      </w:r>
    </w:p>
    <w:p w14:paraId="14E1E7EE" w14:textId="70484200" w:rsidR="002A1F82" w:rsidRDefault="002A1F82" w:rsidP="002A1F82">
      <w:r>
        <w:t>T</w:t>
      </w:r>
      <w:r>
        <w:t xml:space="preserve">he </w:t>
      </w:r>
      <w:r>
        <w:t xml:space="preserve">guidelines for a well-structured abstract. </w:t>
      </w:r>
    </w:p>
    <w:p w14:paraId="31E9B4CC" w14:textId="77777777" w:rsidR="002A1F82" w:rsidRDefault="002A1F82" w:rsidP="002A1F82">
      <w:pPr>
        <w:pStyle w:val="ListParagraph"/>
        <w:numPr>
          <w:ilvl w:val="0"/>
          <w:numId w:val="1"/>
        </w:numPr>
        <w:ind w:leftChars="0"/>
      </w:pPr>
      <w:r>
        <w:t>Defining the problem or hypothesis</w:t>
      </w:r>
    </w:p>
    <w:p w14:paraId="6DC9C395" w14:textId="77777777" w:rsidR="002A1F82" w:rsidRDefault="002A1F82" w:rsidP="002A1F82">
      <w:pPr>
        <w:pStyle w:val="ListParagraph"/>
        <w:numPr>
          <w:ilvl w:val="0"/>
          <w:numId w:val="1"/>
        </w:numPr>
        <w:ind w:leftChars="0"/>
      </w:pPr>
      <w:r>
        <w:t xml:space="preserve">Important information about the research processes, summarized </w:t>
      </w:r>
    </w:p>
    <w:p w14:paraId="70612449" w14:textId="77777777" w:rsidR="002A1F82" w:rsidRDefault="002A1F82" w:rsidP="002A1F82">
      <w:pPr>
        <w:pStyle w:val="ListParagraph"/>
        <w:numPr>
          <w:ilvl w:val="0"/>
          <w:numId w:val="1"/>
        </w:numPr>
        <w:ind w:leftChars="0"/>
      </w:pPr>
      <w:r>
        <w:t>Key findings and why they are important to ceramics/glass and society</w:t>
      </w:r>
    </w:p>
    <w:p w14:paraId="188359D6" w14:textId="4B30F797" w:rsidR="002A1F82" w:rsidRDefault="002A1F82" w:rsidP="002A1F82">
      <w:r>
        <w:t>Step-by-step</w:t>
      </w:r>
    </w:p>
    <w:p w14:paraId="11D0603A" w14:textId="14E43AF0" w:rsidR="00EA514A" w:rsidRDefault="00EA514A" w:rsidP="00EA514A">
      <w:pPr>
        <w:pStyle w:val="ListParagraph"/>
        <w:numPr>
          <w:ilvl w:val="0"/>
          <w:numId w:val="2"/>
        </w:numPr>
        <w:ind w:leftChars="0"/>
      </w:pPr>
      <w:r>
        <w:t xml:space="preserve">Keywords, keywords, keywords. </w:t>
      </w:r>
      <w:r>
        <w:t>Using the information in the title, abstract, and conclusions, d</w:t>
      </w:r>
      <w:r>
        <w:t xml:space="preserve">etermine what are the most important </w:t>
      </w:r>
      <w:r>
        <w:t xml:space="preserve">3-5 </w:t>
      </w:r>
      <w:r>
        <w:t>keywords</w:t>
      </w:r>
      <w:r>
        <w:t>.</w:t>
      </w:r>
      <w:r>
        <w:t xml:space="preserve"> The given keywords may or may not be the most </w:t>
      </w:r>
      <w:r>
        <w:t>important</w:t>
      </w:r>
      <w:r>
        <w:t xml:space="preserve"> ones. </w:t>
      </w:r>
    </w:p>
    <w:p w14:paraId="59B9F9C8" w14:textId="3813684C" w:rsidR="002A1F82" w:rsidRDefault="00EA514A" w:rsidP="002A1F82">
      <w:pPr>
        <w:pStyle w:val="ListParagraph"/>
        <w:numPr>
          <w:ilvl w:val="0"/>
          <w:numId w:val="2"/>
        </w:numPr>
        <w:ind w:leftChars="0"/>
      </w:pPr>
      <w:r>
        <w:t xml:space="preserve">Reorganize the information that you have from </w:t>
      </w:r>
      <w:r w:rsidR="002A1F82">
        <w:t xml:space="preserve">the title, abstract, keywords, and conclusions </w:t>
      </w:r>
      <w:r>
        <w:t xml:space="preserve">into the </w:t>
      </w:r>
      <w:r w:rsidR="002A1F82">
        <w:t>categories</w:t>
      </w:r>
      <w:r>
        <w:t xml:space="preserve"> above</w:t>
      </w:r>
      <w:r w:rsidR="002A1F82">
        <w:t xml:space="preserve">. </w:t>
      </w:r>
      <w:r>
        <w:t xml:space="preserve">You do not have to use all the information in the abstract and you can borrow some from the conclusions. </w:t>
      </w:r>
      <w:r w:rsidR="002A1F82">
        <w:t>It is possible that you will not have all the information you want.  That’s okay. Do the best with what you have.</w:t>
      </w:r>
    </w:p>
    <w:p w14:paraId="362CE5BB" w14:textId="669FB3F5" w:rsidR="00EA514A" w:rsidRDefault="00EA514A" w:rsidP="002A1F82">
      <w:pPr>
        <w:pStyle w:val="ListParagraph"/>
        <w:numPr>
          <w:ilvl w:val="0"/>
          <w:numId w:val="2"/>
        </w:numPr>
        <w:ind w:leftChars="0"/>
      </w:pPr>
      <w:r>
        <w:t xml:space="preserve">Connect these three concepts into a draft, writing to connect the three categories into a single paragraph. Make sure your sentences include the most important keywords 2-4 times each. </w:t>
      </w:r>
    </w:p>
    <w:p w14:paraId="5D4052F6" w14:textId="30974488" w:rsidR="002A1F82" w:rsidRDefault="002A1F82" w:rsidP="002A1F82">
      <w:pPr>
        <w:pStyle w:val="ListParagraph"/>
        <w:numPr>
          <w:ilvl w:val="0"/>
          <w:numId w:val="2"/>
        </w:numPr>
        <w:ind w:leftChars="0"/>
      </w:pPr>
      <w:r>
        <w:t>Once you have written your draft, reread it to make sure you have written an interesting and compelling story.  There is no “right” answer here.</w:t>
      </w:r>
    </w:p>
    <w:p w14:paraId="07BB8781" w14:textId="2BFC2F37" w:rsidR="002A1F82" w:rsidRDefault="002A1F82" w:rsidP="002A1F82">
      <w:pPr>
        <w:pStyle w:val="ListParagraph"/>
        <w:numPr>
          <w:ilvl w:val="0"/>
          <w:numId w:val="2"/>
        </w:numPr>
        <w:ind w:leftChars="0"/>
      </w:pPr>
      <w:r>
        <w:t xml:space="preserve">Previous students have found it useful to see how editors would revise the abstracts. </w:t>
      </w:r>
      <w:r w:rsidR="00EA514A">
        <w:t xml:space="preserve">These are available in the “Editor’s Answers” </w:t>
      </w:r>
      <w:r w:rsidR="00A8007C">
        <w:t>file</w:t>
      </w:r>
      <w:r w:rsidR="00EA514A">
        <w:t>. No cheating</w:t>
      </w:r>
      <w:r w:rsidR="00A8007C">
        <w:t>.</w:t>
      </w:r>
    </w:p>
    <w:p w14:paraId="04AC2AF9" w14:textId="5233FE76" w:rsidR="00A8007C" w:rsidRDefault="00A8007C">
      <w:r>
        <w:br w:type="page"/>
      </w:r>
    </w:p>
    <w:p w14:paraId="2FB5DFAC" w14:textId="6F52899F" w:rsidR="00A8007C" w:rsidRDefault="00A8007C" w:rsidP="00A8007C"/>
    <w:p w14:paraId="4C76852F" w14:textId="166F2ABC" w:rsidR="00A8007C" w:rsidRPr="00306F58" w:rsidRDefault="00A8007C" w:rsidP="00A8007C">
      <w:r>
        <w:t>Exercise 3</w:t>
      </w:r>
    </w:p>
    <w:p w14:paraId="72980F40" w14:textId="77777777" w:rsidR="00A8007C" w:rsidRPr="00A8007C" w:rsidRDefault="00A8007C" w:rsidP="00A8007C">
      <w:pPr>
        <w:pStyle w:val="Heading2"/>
        <w:shd w:val="clear" w:color="auto" w:fill="FFFFFF"/>
        <w:spacing w:before="0" w:beforeAutospacing="0" w:after="0" w:afterAutospacing="0" w:line="276" w:lineRule="auto"/>
        <w:rPr>
          <w:rFonts w:asciiTheme="minorHAnsi" w:hAnsiTheme="minorHAnsi"/>
          <w:color w:val="1C1D1E"/>
          <w:sz w:val="22"/>
          <w:szCs w:val="22"/>
        </w:rPr>
      </w:pPr>
      <w:r w:rsidRPr="00A8007C">
        <w:rPr>
          <w:rFonts w:asciiTheme="minorHAnsi" w:hAnsiTheme="minorHAnsi"/>
          <w:color w:val="1C1D1E"/>
          <w:sz w:val="22"/>
          <w:szCs w:val="22"/>
        </w:rPr>
        <w:t>Microstructures and Properties of 3Y</w:t>
      </w:r>
      <w:r w:rsidRPr="00A8007C">
        <w:rPr>
          <w:rFonts w:asciiTheme="minorHAnsi" w:hAnsiTheme="minorHAnsi" w:cs="Cambria Math"/>
          <w:color w:val="1C1D1E"/>
          <w:sz w:val="22"/>
          <w:szCs w:val="22"/>
        </w:rPr>
        <w:t>‐</w:t>
      </w:r>
      <w:r w:rsidRPr="00A8007C">
        <w:rPr>
          <w:rFonts w:asciiTheme="minorHAnsi" w:hAnsiTheme="minorHAnsi"/>
          <w:color w:val="1C1D1E"/>
          <w:sz w:val="22"/>
          <w:szCs w:val="22"/>
        </w:rPr>
        <w:t>TZP/A</w:t>
      </w:r>
      <w:r w:rsidRPr="00A8007C">
        <w:rPr>
          <w:rFonts w:asciiTheme="minorHAnsi" w:hAnsiTheme="minorHAnsi"/>
          <w:color w:val="1C1D1E"/>
          <w:sz w:val="22"/>
          <w:szCs w:val="22"/>
          <w:vertAlign w:val="subscript"/>
        </w:rPr>
        <w:t>0.5</w:t>
      </w:r>
      <w:r w:rsidRPr="00A8007C">
        <w:rPr>
          <w:rFonts w:asciiTheme="minorHAnsi" w:hAnsiTheme="minorHAnsi"/>
          <w:color w:val="1C1D1E"/>
          <w:sz w:val="22"/>
          <w:szCs w:val="22"/>
        </w:rPr>
        <w:t>B</w:t>
      </w:r>
      <w:r w:rsidRPr="00A8007C">
        <w:rPr>
          <w:rFonts w:asciiTheme="minorHAnsi" w:hAnsiTheme="minorHAnsi"/>
          <w:color w:val="1C1D1E"/>
          <w:sz w:val="22"/>
          <w:szCs w:val="22"/>
          <w:vertAlign w:val="subscript"/>
        </w:rPr>
        <w:t>0.5</w:t>
      </w:r>
      <w:r w:rsidRPr="00A8007C">
        <w:rPr>
          <w:rFonts w:asciiTheme="minorHAnsi" w:hAnsiTheme="minorHAnsi"/>
          <w:color w:val="1C1D1E"/>
          <w:sz w:val="22"/>
          <w:szCs w:val="22"/>
        </w:rPr>
        <w:t>C</w:t>
      </w:r>
      <w:r w:rsidRPr="00A8007C">
        <w:rPr>
          <w:rFonts w:asciiTheme="minorHAnsi" w:hAnsiTheme="minorHAnsi"/>
          <w:color w:val="1C1D1E"/>
          <w:sz w:val="22"/>
          <w:szCs w:val="22"/>
          <w:vertAlign w:val="subscript"/>
        </w:rPr>
        <w:t>12</w:t>
      </w:r>
      <w:r w:rsidRPr="00A8007C">
        <w:rPr>
          <w:rFonts w:asciiTheme="minorHAnsi" w:hAnsiTheme="minorHAnsi"/>
          <w:color w:val="1C1D1E"/>
          <w:sz w:val="22"/>
          <w:szCs w:val="22"/>
        </w:rPr>
        <w:t>O</w:t>
      </w:r>
      <w:r w:rsidRPr="00A8007C">
        <w:rPr>
          <w:rFonts w:asciiTheme="minorHAnsi" w:hAnsiTheme="minorHAnsi"/>
          <w:color w:val="1C1D1E"/>
          <w:sz w:val="22"/>
          <w:szCs w:val="22"/>
          <w:vertAlign w:val="subscript"/>
        </w:rPr>
        <w:t xml:space="preserve">19 </w:t>
      </w:r>
      <w:r w:rsidRPr="00A8007C">
        <w:rPr>
          <w:rFonts w:asciiTheme="minorHAnsi" w:hAnsiTheme="minorHAnsi"/>
          <w:color w:val="1C1D1E"/>
          <w:sz w:val="22"/>
          <w:szCs w:val="22"/>
        </w:rPr>
        <w:t>Composites Prepared by Two Methods</w:t>
      </w:r>
    </w:p>
    <w:p w14:paraId="6DB85B45" w14:textId="62E77C38" w:rsidR="00A8007C" w:rsidRDefault="00A8007C" w:rsidP="00A8007C">
      <w:pPr>
        <w:spacing w:after="0" w:line="276" w:lineRule="auto"/>
        <w:rPr>
          <w:rFonts w:cs="Times New Roman"/>
          <w:color w:val="1C1D1E"/>
          <w:shd w:val="clear" w:color="auto" w:fill="FFFFFF"/>
        </w:rPr>
      </w:pPr>
      <w:r>
        <w:rPr>
          <w:rFonts w:cs="Times New Roman"/>
          <w:color w:val="1C1D1E"/>
          <w:shd w:val="clear" w:color="auto" w:fill="FFFFFF"/>
        </w:rPr>
        <w:t>Abstract</w:t>
      </w:r>
    </w:p>
    <w:p w14:paraId="4E8DF9AB" w14:textId="40C55771" w:rsidR="00A8007C" w:rsidRPr="00A8007C" w:rsidRDefault="00A8007C" w:rsidP="00A8007C">
      <w:pPr>
        <w:spacing w:after="0" w:line="276" w:lineRule="auto"/>
        <w:rPr>
          <w:rFonts w:cs="Times New Roman"/>
          <w:color w:val="1C1D1E"/>
          <w:shd w:val="clear" w:color="auto" w:fill="FFFFFF"/>
        </w:rPr>
      </w:pPr>
      <w:r w:rsidRPr="00A8007C">
        <w:rPr>
          <w:rFonts w:cs="Times New Roman"/>
          <w:color w:val="1C1D1E"/>
          <w:shd w:val="clear" w:color="auto" w:fill="FFFFFF"/>
        </w:rPr>
        <w:t>Two composites of A</w:t>
      </w:r>
      <w:r w:rsidRPr="00A8007C">
        <w:rPr>
          <w:rFonts w:cs="Times New Roman"/>
          <w:color w:val="1C1D1E"/>
          <w:shd w:val="clear" w:color="auto" w:fill="FFFFFF"/>
          <w:vertAlign w:val="subscript"/>
        </w:rPr>
        <w:t>0.5</w:t>
      </w:r>
      <w:r w:rsidRPr="00A8007C">
        <w:rPr>
          <w:rFonts w:cs="Times New Roman"/>
          <w:color w:val="1C1D1E"/>
          <w:shd w:val="clear" w:color="auto" w:fill="FFFFFF"/>
        </w:rPr>
        <w:t>B</w:t>
      </w:r>
      <w:r w:rsidRPr="00A8007C">
        <w:rPr>
          <w:rFonts w:cs="Times New Roman"/>
          <w:color w:val="1C1D1E"/>
          <w:shd w:val="clear" w:color="auto" w:fill="FFFFFF"/>
          <w:vertAlign w:val="subscript"/>
        </w:rPr>
        <w:t>0.5</w:t>
      </w:r>
      <w:r w:rsidRPr="00A8007C">
        <w:rPr>
          <w:rFonts w:cs="Times New Roman"/>
          <w:color w:val="1C1D1E"/>
          <w:shd w:val="clear" w:color="auto" w:fill="FFFFFF"/>
        </w:rPr>
        <w:t>C</w:t>
      </w:r>
      <w:r w:rsidRPr="00A8007C">
        <w:rPr>
          <w:rFonts w:cs="Times New Roman"/>
          <w:color w:val="1C1D1E"/>
          <w:shd w:val="clear" w:color="auto" w:fill="FFFFFF"/>
          <w:vertAlign w:val="subscript"/>
        </w:rPr>
        <w:t>12</w:t>
      </w:r>
      <w:r w:rsidRPr="00A8007C">
        <w:rPr>
          <w:rFonts w:cs="Times New Roman"/>
          <w:color w:val="1C1D1E"/>
          <w:shd w:val="clear" w:color="auto" w:fill="FFFFFF"/>
        </w:rPr>
        <w:t>O</w:t>
      </w:r>
      <w:r w:rsidRPr="00A8007C">
        <w:rPr>
          <w:rFonts w:cs="Times New Roman"/>
          <w:color w:val="1C1D1E"/>
          <w:shd w:val="clear" w:color="auto" w:fill="FFFFFF"/>
          <w:vertAlign w:val="subscript"/>
        </w:rPr>
        <w:t>19</w:t>
      </w:r>
      <w:r w:rsidRPr="00A8007C">
        <w:rPr>
          <w:rFonts w:cs="Times New Roman"/>
          <w:color w:val="1C1D1E"/>
          <w:shd w:val="clear" w:color="auto" w:fill="FFFFFF"/>
        </w:rPr>
        <w:t> grains dispersed in a 3 mol% yttria</w:t>
      </w:r>
      <w:r w:rsidRPr="00A8007C">
        <w:rPr>
          <w:rFonts w:cs="Cambria Math"/>
          <w:color w:val="1C1D1E"/>
          <w:shd w:val="clear" w:color="auto" w:fill="FFFFFF"/>
        </w:rPr>
        <w:t>‐</w:t>
      </w:r>
      <w:r w:rsidRPr="00A8007C">
        <w:rPr>
          <w:rFonts w:cs="Times New Roman"/>
          <w:color w:val="1C1D1E"/>
          <w:shd w:val="clear" w:color="auto" w:fill="FFFFFF"/>
        </w:rPr>
        <w:t>doped zirconia (3Y</w:t>
      </w:r>
      <w:r w:rsidRPr="00A8007C">
        <w:rPr>
          <w:rFonts w:cs="Cambria Math"/>
          <w:color w:val="1C1D1E"/>
          <w:shd w:val="clear" w:color="auto" w:fill="FFFFFF"/>
        </w:rPr>
        <w:t>‐</w:t>
      </w:r>
      <w:r w:rsidRPr="00A8007C">
        <w:rPr>
          <w:rFonts w:cs="Times New Roman"/>
          <w:color w:val="1C1D1E"/>
          <w:shd w:val="clear" w:color="auto" w:fill="FFFFFF"/>
        </w:rPr>
        <w:t>TZP) matrix are prepared by two methods. The mechanical and electromagnetic properties of the both composites are investigated. The maximum values of the bending strength and the fracture toughness are 786 MPa and 8.6 MPa m</w:t>
      </w:r>
      <w:r w:rsidRPr="00A8007C">
        <w:rPr>
          <w:rFonts w:cs="Times New Roman"/>
          <w:color w:val="1C1D1E"/>
          <w:shd w:val="clear" w:color="auto" w:fill="FFFFFF"/>
          <w:vertAlign w:val="superscript"/>
        </w:rPr>
        <w:t>1/2</w:t>
      </w:r>
      <w:r w:rsidRPr="00A8007C">
        <w:rPr>
          <w:rFonts w:cs="Times New Roman"/>
          <w:color w:val="1C1D1E"/>
          <w:shd w:val="clear" w:color="auto" w:fill="FFFFFF"/>
        </w:rPr>
        <w:t>, respectively. The maximum value of the magnetization is 17.2 emu/g. In addition, the distribution of the A</w:t>
      </w:r>
      <w:r w:rsidRPr="00A8007C">
        <w:rPr>
          <w:rFonts w:cs="Times New Roman"/>
          <w:color w:val="1C1D1E"/>
          <w:shd w:val="clear" w:color="auto" w:fill="FFFFFF"/>
          <w:vertAlign w:val="subscript"/>
        </w:rPr>
        <w:t>0.5</w:t>
      </w:r>
      <w:r w:rsidRPr="00A8007C">
        <w:rPr>
          <w:rFonts w:cs="Times New Roman"/>
          <w:color w:val="1C1D1E"/>
          <w:shd w:val="clear" w:color="auto" w:fill="FFFFFF"/>
        </w:rPr>
        <w:t>B</w:t>
      </w:r>
      <w:r w:rsidRPr="00A8007C">
        <w:rPr>
          <w:rFonts w:cs="Times New Roman"/>
          <w:color w:val="1C1D1E"/>
          <w:shd w:val="clear" w:color="auto" w:fill="FFFFFF"/>
          <w:vertAlign w:val="subscript"/>
        </w:rPr>
        <w:t>0.5</w:t>
      </w:r>
      <w:r w:rsidRPr="00A8007C">
        <w:rPr>
          <w:rFonts w:cs="Times New Roman"/>
          <w:color w:val="1C1D1E"/>
          <w:shd w:val="clear" w:color="auto" w:fill="FFFFFF"/>
        </w:rPr>
        <w:t>C</w:t>
      </w:r>
      <w:r w:rsidRPr="00A8007C">
        <w:rPr>
          <w:rFonts w:cs="Times New Roman"/>
          <w:color w:val="1C1D1E"/>
          <w:shd w:val="clear" w:color="auto" w:fill="FFFFFF"/>
          <w:vertAlign w:val="subscript"/>
        </w:rPr>
        <w:t>12</w:t>
      </w:r>
      <w:r w:rsidRPr="00A8007C">
        <w:rPr>
          <w:rFonts w:cs="Times New Roman"/>
          <w:color w:val="1C1D1E"/>
          <w:shd w:val="clear" w:color="auto" w:fill="FFFFFF"/>
        </w:rPr>
        <w:t>O</w:t>
      </w:r>
      <w:r w:rsidRPr="00A8007C">
        <w:rPr>
          <w:rFonts w:cs="Times New Roman"/>
          <w:color w:val="1C1D1E"/>
          <w:shd w:val="clear" w:color="auto" w:fill="FFFFFF"/>
          <w:vertAlign w:val="subscript"/>
        </w:rPr>
        <w:t>19</w:t>
      </w:r>
      <w:r w:rsidRPr="00A8007C">
        <w:rPr>
          <w:rFonts w:cs="Times New Roman"/>
          <w:color w:val="1C1D1E"/>
          <w:shd w:val="clear" w:color="auto" w:fill="FFFFFF"/>
        </w:rPr>
        <w:t> phase is described using the box dimension of the fractal theory. The impedance spectra of the both composites are fitted using the equivalent circuit model with a constant phase element (CPE). The obtained </w:t>
      </w:r>
      <w:r w:rsidRPr="00A8007C">
        <w:rPr>
          <w:rFonts w:cs="Times New Roman"/>
          <w:i/>
          <w:iCs/>
          <w:color w:val="1C1D1E"/>
          <w:shd w:val="clear" w:color="auto" w:fill="FFFFFF"/>
        </w:rPr>
        <w:t>p</w:t>
      </w:r>
      <w:r w:rsidRPr="00A8007C">
        <w:rPr>
          <w:rFonts w:cs="Times New Roman"/>
          <w:color w:val="1C1D1E"/>
          <w:shd w:val="clear" w:color="auto" w:fill="FFFFFF"/>
        </w:rPr>
        <w:t> value of the CPE can indirectly reflect the morphology of the A</w:t>
      </w:r>
      <w:r w:rsidRPr="00A8007C">
        <w:rPr>
          <w:rFonts w:cs="Times New Roman"/>
          <w:color w:val="1C1D1E"/>
          <w:shd w:val="clear" w:color="auto" w:fill="FFFFFF"/>
          <w:vertAlign w:val="subscript"/>
        </w:rPr>
        <w:t>0.5</w:t>
      </w:r>
      <w:r w:rsidRPr="00A8007C">
        <w:rPr>
          <w:rFonts w:cs="Times New Roman"/>
          <w:color w:val="1C1D1E"/>
          <w:shd w:val="clear" w:color="auto" w:fill="FFFFFF"/>
        </w:rPr>
        <w:t>B</w:t>
      </w:r>
      <w:r w:rsidRPr="00A8007C">
        <w:rPr>
          <w:rFonts w:cs="Times New Roman"/>
          <w:color w:val="1C1D1E"/>
          <w:shd w:val="clear" w:color="auto" w:fill="FFFFFF"/>
          <w:vertAlign w:val="subscript"/>
        </w:rPr>
        <w:t>0.5</w:t>
      </w:r>
      <w:r w:rsidRPr="00A8007C">
        <w:rPr>
          <w:rFonts w:cs="Times New Roman"/>
          <w:color w:val="1C1D1E"/>
          <w:shd w:val="clear" w:color="auto" w:fill="FFFFFF"/>
        </w:rPr>
        <w:t>C</w:t>
      </w:r>
      <w:r w:rsidRPr="00A8007C">
        <w:rPr>
          <w:rFonts w:cs="Times New Roman"/>
          <w:color w:val="1C1D1E"/>
          <w:shd w:val="clear" w:color="auto" w:fill="FFFFFF"/>
          <w:vertAlign w:val="subscript"/>
        </w:rPr>
        <w:t>12</w:t>
      </w:r>
      <w:r w:rsidRPr="00A8007C">
        <w:rPr>
          <w:rFonts w:cs="Times New Roman"/>
          <w:color w:val="1C1D1E"/>
          <w:shd w:val="clear" w:color="auto" w:fill="FFFFFF"/>
        </w:rPr>
        <w:t>O</w:t>
      </w:r>
      <w:r w:rsidRPr="00A8007C">
        <w:rPr>
          <w:rFonts w:cs="Times New Roman"/>
          <w:color w:val="1C1D1E"/>
          <w:shd w:val="clear" w:color="auto" w:fill="FFFFFF"/>
          <w:vertAlign w:val="subscript"/>
        </w:rPr>
        <w:t>19</w:t>
      </w:r>
      <w:r w:rsidRPr="00A8007C">
        <w:rPr>
          <w:rFonts w:cs="Times New Roman"/>
          <w:color w:val="1C1D1E"/>
          <w:shd w:val="clear" w:color="auto" w:fill="FFFFFF"/>
        </w:rPr>
        <w:t> phase in both composites according to the universal relaxation law.</w:t>
      </w:r>
    </w:p>
    <w:p w14:paraId="37AFF2DB" w14:textId="77777777" w:rsidR="00A8007C" w:rsidRPr="00A8007C" w:rsidRDefault="00A8007C" w:rsidP="00A8007C">
      <w:pPr>
        <w:spacing w:after="0" w:line="276" w:lineRule="auto"/>
        <w:rPr>
          <w:rFonts w:cs="Times New Roman"/>
          <w:color w:val="1C1D1E"/>
          <w:shd w:val="clear" w:color="auto" w:fill="FFFFFF"/>
        </w:rPr>
      </w:pPr>
    </w:p>
    <w:p w14:paraId="74049E50" w14:textId="77777777" w:rsidR="00A8007C" w:rsidRPr="00A8007C" w:rsidRDefault="00A8007C" w:rsidP="00A8007C">
      <w:pPr>
        <w:spacing w:after="0" w:line="276" w:lineRule="auto"/>
        <w:rPr>
          <w:rFonts w:cs="Times New Roman"/>
          <w:color w:val="1C1D1E"/>
          <w:shd w:val="clear" w:color="auto" w:fill="FFFFFF"/>
        </w:rPr>
      </w:pPr>
      <w:r w:rsidRPr="00A8007C">
        <w:rPr>
          <w:rFonts w:cs="Times New Roman"/>
          <w:color w:val="1C1D1E"/>
          <w:shd w:val="clear" w:color="auto" w:fill="FFFFFF"/>
        </w:rPr>
        <w:t xml:space="preserve">Keywords: </w:t>
      </w:r>
      <w:r w:rsidRPr="00A8007C">
        <w:rPr>
          <w:rFonts w:cs="Times New Roman"/>
        </w:rPr>
        <w:t>ceramic matrix composites, electromagnetic properties, ferrites, mechanical properties</w:t>
      </w:r>
    </w:p>
    <w:p w14:paraId="703A4C56" w14:textId="77777777" w:rsidR="00A8007C" w:rsidRPr="00A8007C" w:rsidRDefault="00A8007C" w:rsidP="00A8007C">
      <w:pPr>
        <w:pStyle w:val="NormalWeb"/>
        <w:shd w:val="clear" w:color="auto" w:fill="FFFFFF"/>
        <w:spacing w:before="0" w:beforeAutospacing="0" w:after="0" w:afterAutospacing="0" w:line="276" w:lineRule="auto"/>
        <w:rPr>
          <w:rFonts w:asciiTheme="minorHAnsi" w:hAnsiTheme="minorHAnsi"/>
          <w:color w:val="1C1D1E"/>
          <w:sz w:val="22"/>
          <w:szCs w:val="22"/>
        </w:rPr>
      </w:pPr>
    </w:p>
    <w:p w14:paraId="078F6107" w14:textId="77777777" w:rsidR="00A8007C" w:rsidRPr="00A8007C" w:rsidRDefault="00A8007C" w:rsidP="00A8007C">
      <w:pPr>
        <w:pStyle w:val="NormalWeb"/>
        <w:shd w:val="clear" w:color="auto" w:fill="FFFFFF"/>
        <w:spacing w:before="0" w:beforeAutospacing="0" w:after="0" w:afterAutospacing="0" w:line="276" w:lineRule="auto"/>
        <w:rPr>
          <w:rFonts w:asciiTheme="minorHAnsi" w:hAnsiTheme="minorHAnsi"/>
          <w:b/>
          <w:color w:val="1C1D1E"/>
          <w:sz w:val="22"/>
          <w:szCs w:val="22"/>
        </w:rPr>
      </w:pPr>
    </w:p>
    <w:p w14:paraId="2289FEAB" w14:textId="77777777" w:rsidR="00A8007C" w:rsidRPr="00A8007C" w:rsidRDefault="00A8007C" w:rsidP="00A8007C">
      <w:pPr>
        <w:pStyle w:val="NormalWeb"/>
        <w:shd w:val="clear" w:color="auto" w:fill="FFFFFF"/>
        <w:spacing w:before="0" w:beforeAutospacing="0" w:after="0" w:afterAutospacing="0" w:line="276" w:lineRule="auto"/>
        <w:rPr>
          <w:rFonts w:asciiTheme="minorHAnsi" w:hAnsiTheme="minorHAnsi"/>
          <w:b/>
          <w:color w:val="1C1D1E"/>
          <w:sz w:val="22"/>
          <w:szCs w:val="22"/>
        </w:rPr>
      </w:pPr>
    </w:p>
    <w:p w14:paraId="3A1771B0" w14:textId="77777777" w:rsidR="00A8007C" w:rsidRPr="00A8007C" w:rsidRDefault="00A8007C" w:rsidP="00A8007C">
      <w:pPr>
        <w:pStyle w:val="NormalWeb"/>
        <w:shd w:val="clear" w:color="auto" w:fill="FFFFFF"/>
        <w:spacing w:before="0" w:beforeAutospacing="0" w:after="0" w:afterAutospacing="0" w:line="276" w:lineRule="auto"/>
        <w:rPr>
          <w:rFonts w:asciiTheme="minorHAnsi" w:hAnsiTheme="minorHAnsi"/>
          <w:b/>
          <w:color w:val="1C1D1E"/>
          <w:sz w:val="22"/>
          <w:szCs w:val="22"/>
        </w:rPr>
      </w:pPr>
      <w:r w:rsidRPr="00A8007C">
        <w:rPr>
          <w:rFonts w:asciiTheme="minorHAnsi" w:hAnsiTheme="minorHAnsi"/>
          <w:b/>
          <w:color w:val="1C1D1E"/>
          <w:sz w:val="22"/>
          <w:szCs w:val="22"/>
        </w:rPr>
        <w:t>Conclusion</w:t>
      </w:r>
    </w:p>
    <w:p w14:paraId="30715158" w14:textId="77777777" w:rsidR="00A8007C" w:rsidRPr="00A8007C" w:rsidRDefault="00A8007C" w:rsidP="00A8007C">
      <w:pPr>
        <w:pStyle w:val="NormalWeb"/>
        <w:shd w:val="clear" w:color="auto" w:fill="FFFFFF"/>
        <w:spacing w:before="0" w:beforeAutospacing="0" w:after="0" w:afterAutospacing="0" w:line="276" w:lineRule="auto"/>
        <w:rPr>
          <w:rFonts w:asciiTheme="minorHAnsi" w:hAnsiTheme="minorHAnsi"/>
          <w:color w:val="1C1D1E"/>
          <w:sz w:val="22"/>
          <w:szCs w:val="22"/>
        </w:rPr>
      </w:pPr>
      <w:r w:rsidRPr="00A8007C">
        <w:rPr>
          <w:rFonts w:asciiTheme="minorHAnsi" w:hAnsiTheme="minorHAnsi"/>
          <w:color w:val="1C1D1E"/>
          <w:sz w:val="22"/>
          <w:szCs w:val="22"/>
        </w:rPr>
        <w:t>The composite SG</w:t>
      </w:r>
      <w:r w:rsidRPr="00A8007C">
        <w:rPr>
          <w:rFonts w:asciiTheme="minorHAnsi" w:hAnsiTheme="minorHAnsi"/>
          <w:color w:val="1C1D1E"/>
          <w:sz w:val="22"/>
          <w:szCs w:val="22"/>
          <w:vertAlign w:val="subscript"/>
        </w:rPr>
        <w:t>2</w:t>
      </w:r>
      <w:r w:rsidRPr="00A8007C">
        <w:rPr>
          <w:rFonts w:asciiTheme="minorHAnsi" w:hAnsiTheme="minorHAnsi"/>
          <w:color w:val="1C1D1E"/>
          <w:sz w:val="22"/>
          <w:szCs w:val="22"/>
        </w:rPr>
        <w:t> has better mechanical and magnetic properties compared with the composite SG</w:t>
      </w:r>
      <w:r w:rsidRPr="00A8007C">
        <w:rPr>
          <w:rFonts w:asciiTheme="minorHAnsi" w:hAnsiTheme="minorHAnsi"/>
          <w:color w:val="1C1D1E"/>
          <w:sz w:val="22"/>
          <w:szCs w:val="22"/>
          <w:vertAlign w:val="subscript"/>
        </w:rPr>
        <w:t>1</w:t>
      </w:r>
      <w:r w:rsidRPr="00A8007C">
        <w:rPr>
          <w:rFonts w:asciiTheme="minorHAnsi" w:hAnsiTheme="minorHAnsi"/>
          <w:color w:val="1C1D1E"/>
          <w:sz w:val="22"/>
          <w:szCs w:val="22"/>
        </w:rPr>
        <w:t>. The bending strength and fracture toughness of the composite SG</w:t>
      </w:r>
      <w:r w:rsidRPr="00A8007C">
        <w:rPr>
          <w:rFonts w:asciiTheme="minorHAnsi" w:hAnsiTheme="minorHAnsi"/>
          <w:color w:val="1C1D1E"/>
          <w:sz w:val="22"/>
          <w:szCs w:val="22"/>
          <w:vertAlign w:val="subscript"/>
        </w:rPr>
        <w:t>2</w:t>
      </w:r>
      <w:r w:rsidRPr="00A8007C">
        <w:rPr>
          <w:rFonts w:asciiTheme="minorHAnsi" w:hAnsiTheme="minorHAnsi"/>
          <w:color w:val="1C1D1E"/>
          <w:sz w:val="22"/>
          <w:szCs w:val="22"/>
        </w:rPr>
        <w:t> reach 786 MPa and 8.6 MPa m</w:t>
      </w:r>
      <w:r w:rsidRPr="00A8007C">
        <w:rPr>
          <w:rFonts w:asciiTheme="minorHAnsi" w:hAnsiTheme="minorHAnsi"/>
          <w:color w:val="1C1D1E"/>
          <w:sz w:val="22"/>
          <w:szCs w:val="22"/>
          <w:vertAlign w:val="superscript"/>
        </w:rPr>
        <w:t>1/2</w:t>
      </w:r>
      <w:r w:rsidRPr="00A8007C">
        <w:rPr>
          <w:rFonts w:asciiTheme="minorHAnsi" w:hAnsiTheme="minorHAnsi"/>
          <w:color w:val="1C1D1E"/>
          <w:sz w:val="22"/>
          <w:szCs w:val="22"/>
        </w:rPr>
        <w:t>. Its saturation magnetization is 17.2 emu/g. The composite SG</w:t>
      </w:r>
      <w:r w:rsidRPr="00A8007C">
        <w:rPr>
          <w:rFonts w:asciiTheme="minorHAnsi" w:hAnsiTheme="minorHAnsi"/>
          <w:color w:val="1C1D1E"/>
          <w:sz w:val="22"/>
          <w:szCs w:val="22"/>
          <w:vertAlign w:val="subscript"/>
        </w:rPr>
        <w:t>2</w:t>
      </w:r>
      <w:r w:rsidRPr="00A8007C">
        <w:rPr>
          <w:rFonts w:asciiTheme="minorHAnsi" w:hAnsiTheme="minorHAnsi"/>
          <w:color w:val="1C1D1E"/>
          <w:sz w:val="22"/>
          <w:szCs w:val="22"/>
        </w:rPr>
        <w:t>possesses the better comprehensive properties due to the microstructure with the fine and homogeneously dispersed A</w:t>
      </w:r>
      <w:r w:rsidRPr="00A8007C">
        <w:rPr>
          <w:rFonts w:asciiTheme="minorHAnsi" w:hAnsiTheme="minorHAnsi"/>
          <w:color w:val="1C1D1E"/>
          <w:sz w:val="22"/>
          <w:szCs w:val="22"/>
          <w:vertAlign w:val="subscript"/>
        </w:rPr>
        <w:t>0.5</w:t>
      </w:r>
      <w:r w:rsidRPr="00A8007C">
        <w:rPr>
          <w:rFonts w:asciiTheme="minorHAnsi" w:hAnsiTheme="minorHAnsi"/>
          <w:color w:val="1C1D1E"/>
          <w:sz w:val="22"/>
          <w:szCs w:val="22"/>
        </w:rPr>
        <w:t>B</w:t>
      </w:r>
      <w:r w:rsidRPr="00A8007C">
        <w:rPr>
          <w:rFonts w:asciiTheme="minorHAnsi" w:hAnsiTheme="minorHAnsi"/>
          <w:color w:val="1C1D1E"/>
          <w:sz w:val="22"/>
          <w:szCs w:val="22"/>
          <w:vertAlign w:val="subscript"/>
        </w:rPr>
        <w:t>0.5</w:t>
      </w:r>
      <w:r w:rsidRPr="00A8007C">
        <w:rPr>
          <w:rFonts w:asciiTheme="minorHAnsi" w:hAnsiTheme="minorHAnsi"/>
          <w:color w:val="1C1D1E"/>
          <w:sz w:val="22"/>
          <w:szCs w:val="22"/>
        </w:rPr>
        <w:t>C</w:t>
      </w:r>
      <w:r w:rsidRPr="00A8007C">
        <w:rPr>
          <w:rFonts w:asciiTheme="minorHAnsi" w:hAnsiTheme="minorHAnsi"/>
          <w:color w:val="1C1D1E"/>
          <w:sz w:val="22"/>
          <w:szCs w:val="22"/>
          <w:vertAlign w:val="subscript"/>
        </w:rPr>
        <w:t>12</w:t>
      </w:r>
      <w:r w:rsidRPr="00A8007C">
        <w:rPr>
          <w:rFonts w:asciiTheme="minorHAnsi" w:hAnsiTheme="minorHAnsi"/>
          <w:color w:val="1C1D1E"/>
          <w:sz w:val="22"/>
          <w:szCs w:val="22"/>
        </w:rPr>
        <w:t>O</w:t>
      </w:r>
      <w:r w:rsidRPr="00A8007C">
        <w:rPr>
          <w:rFonts w:asciiTheme="minorHAnsi" w:hAnsiTheme="minorHAnsi"/>
          <w:color w:val="1C1D1E"/>
          <w:sz w:val="22"/>
          <w:szCs w:val="22"/>
          <w:vertAlign w:val="subscript"/>
        </w:rPr>
        <w:t>19</w:t>
      </w:r>
      <w:r w:rsidRPr="00A8007C">
        <w:rPr>
          <w:rFonts w:asciiTheme="minorHAnsi" w:hAnsiTheme="minorHAnsi"/>
          <w:color w:val="1C1D1E"/>
          <w:sz w:val="22"/>
          <w:szCs w:val="22"/>
        </w:rPr>
        <w:t> grains. The box dimension of the Ba</w:t>
      </w:r>
      <w:r w:rsidRPr="00A8007C">
        <w:rPr>
          <w:rFonts w:asciiTheme="minorHAnsi" w:hAnsiTheme="minorHAnsi"/>
          <w:color w:val="1C1D1E"/>
          <w:sz w:val="22"/>
          <w:szCs w:val="22"/>
          <w:vertAlign w:val="subscript"/>
        </w:rPr>
        <w:t>0.5</w:t>
      </w:r>
      <w:r w:rsidRPr="00A8007C">
        <w:rPr>
          <w:rFonts w:asciiTheme="minorHAnsi" w:hAnsiTheme="minorHAnsi"/>
          <w:color w:val="1C1D1E"/>
          <w:sz w:val="22"/>
          <w:szCs w:val="22"/>
        </w:rPr>
        <w:t>Sr</w:t>
      </w:r>
      <w:r w:rsidRPr="00A8007C">
        <w:rPr>
          <w:rFonts w:asciiTheme="minorHAnsi" w:hAnsiTheme="minorHAnsi"/>
          <w:color w:val="1C1D1E"/>
          <w:sz w:val="22"/>
          <w:szCs w:val="22"/>
          <w:vertAlign w:val="subscript"/>
        </w:rPr>
        <w:t>0.5</w:t>
      </w:r>
      <w:r w:rsidRPr="00A8007C">
        <w:rPr>
          <w:rFonts w:asciiTheme="minorHAnsi" w:hAnsiTheme="minorHAnsi"/>
          <w:color w:val="1C1D1E"/>
          <w:sz w:val="22"/>
          <w:szCs w:val="22"/>
        </w:rPr>
        <w:t>Fe</w:t>
      </w:r>
      <w:r w:rsidRPr="00A8007C">
        <w:rPr>
          <w:rFonts w:asciiTheme="minorHAnsi" w:hAnsiTheme="minorHAnsi"/>
          <w:color w:val="1C1D1E"/>
          <w:sz w:val="22"/>
          <w:szCs w:val="22"/>
          <w:vertAlign w:val="subscript"/>
        </w:rPr>
        <w:t>12</w:t>
      </w:r>
      <w:r w:rsidRPr="00A8007C">
        <w:rPr>
          <w:rFonts w:asciiTheme="minorHAnsi" w:hAnsiTheme="minorHAnsi"/>
          <w:color w:val="1C1D1E"/>
          <w:sz w:val="22"/>
          <w:szCs w:val="22"/>
        </w:rPr>
        <w:t>O</w:t>
      </w:r>
      <w:r w:rsidRPr="00A8007C">
        <w:rPr>
          <w:rFonts w:asciiTheme="minorHAnsi" w:hAnsiTheme="minorHAnsi"/>
          <w:color w:val="1C1D1E"/>
          <w:sz w:val="22"/>
          <w:szCs w:val="22"/>
          <w:vertAlign w:val="subscript"/>
        </w:rPr>
        <w:t>19</w:t>
      </w:r>
      <w:r w:rsidRPr="00A8007C">
        <w:rPr>
          <w:rFonts w:asciiTheme="minorHAnsi" w:hAnsiTheme="minorHAnsi"/>
          <w:color w:val="1C1D1E"/>
          <w:sz w:val="22"/>
          <w:szCs w:val="22"/>
        </w:rPr>
        <w:t> phase boundary in composite SG</w:t>
      </w:r>
      <w:r w:rsidRPr="00A8007C">
        <w:rPr>
          <w:rFonts w:asciiTheme="minorHAnsi" w:hAnsiTheme="minorHAnsi"/>
          <w:color w:val="1C1D1E"/>
          <w:sz w:val="22"/>
          <w:szCs w:val="22"/>
          <w:vertAlign w:val="subscript"/>
        </w:rPr>
        <w:t>1</w:t>
      </w:r>
      <w:r w:rsidRPr="00A8007C">
        <w:rPr>
          <w:rFonts w:asciiTheme="minorHAnsi" w:hAnsiTheme="minorHAnsi"/>
          <w:color w:val="1C1D1E"/>
          <w:sz w:val="22"/>
          <w:szCs w:val="22"/>
        </w:rPr>
        <w:t> is smaller than that in composite SG</w:t>
      </w:r>
      <w:r w:rsidRPr="00A8007C">
        <w:rPr>
          <w:rFonts w:asciiTheme="minorHAnsi" w:hAnsiTheme="minorHAnsi"/>
          <w:color w:val="1C1D1E"/>
          <w:sz w:val="22"/>
          <w:szCs w:val="22"/>
          <w:vertAlign w:val="subscript"/>
        </w:rPr>
        <w:t>2</w:t>
      </w:r>
      <w:r w:rsidRPr="00A8007C">
        <w:rPr>
          <w:rFonts w:asciiTheme="minorHAnsi" w:hAnsiTheme="minorHAnsi"/>
          <w:color w:val="1C1D1E"/>
          <w:sz w:val="22"/>
          <w:szCs w:val="22"/>
        </w:rPr>
        <w:t>. This reveals the existence of the large and agglomerated A</w:t>
      </w:r>
      <w:r w:rsidRPr="00A8007C">
        <w:rPr>
          <w:rFonts w:asciiTheme="minorHAnsi" w:hAnsiTheme="minorHAnsi"/>
          <w:color w:val="1C1D1E"/>
          <w:sz w:val="22"/>
          <w:szCs w:val="22"/>
          <w:vertAlign w:val="subscript"/>
        </w:rPr>
        <w:t>0.5</w:t>
      </w:r>
      <w:r w:rsidRPr="00A8007C">
        <w:rPr>
          <w:rFonts w:asciiTheme="minorHAnsi" w:hAnsiTheme="minorHAnsi"/>
          <w:color w:val="1C1D1E"/>
          <w:sz w:val="22"/>
          <w:szCs w:val="22"/>
        </w:rPr>
        <w:t>B</w:t>
      </w:r>
      <w:r w:rsidRPr="00A8007C">
        <w:rPr>
          <w:rFonts w:asciiTheme="minorHAnsi" w:hAnsiTheme="minorHAnsi"/>
          <w:color w:val="1C1D1E"/>
          <w:sz w:val="22"/>
          <w:szCs w:val="22"/>
          <w:vertAlign w:val="subscript"/>
        </w:rPr>
        <w:t>0.5</w:t>
      </w:r>
      <w:r w:rsidRPr="00A8007C">
        <w:rPr>
          <w:rFonts w:asciiTheme="minorHAnsi" w:hAnsiTheme="minorHAnsi"/>
          <w:color w:val="1C1D1E"/>
          <w:sz w:val="22"/>
          <w:szCs w:val="22"/>
        </w:rPr>
        <w:t>C</w:t>
      </w:r>
      <w:r w:rsidRPr="00A8007C">
        <w:rPr>
          <w:rFonts w:asciiTheme="minorHAnsi" w:hAnsiTheme="minorHAnsi"/>
          <w:color w:val="1C1D1E"/>
          <w:sz w:val="22"/>
          <w:szCs w:val="22"/>
          <w:vertAlign w:val="subscript"/>
        </w:rPr>
        <w:t>12</w:t>
      </w:r>
      <w:r w:rsidRPr="00A8007C">
        <w:rPr>
          <w:rFonts w:asciiTheme="minorHAnsi" w:hAnsiTheme="minorHAnsi"/>
          <w:color w:val="1C1D1E"/>
          <w:sz w:val="22"/>
          <w:szCs w:val="22"/>
        </w:rPr>
        <w:t>O</w:t>
      </w:r>
      <w:r w:rsidRPr="00A8007C">
        <w:rPr>
          <w:rFonts w:asciiTheme="minorHAnsi" w:hAnsiTheme="minorHAnsi"/>
          <w:color w:val="1C1D1E"/>
          <w:sz w:val="22"/>
          <w:szCs w:val="22"/>
          <w:vertAlign w:val="subscript"/>
        </w:rPr>
        <w:t>19</w:t>
      </w:r>
      <w:r w:rsidRPr="00A8007C">
        <w:rPr>
          <w:rFonts w:asciiTheme="minorHAnsi" w:hAnsiTheme="minorHAnsi"/>
          <w:color w:val="1C1D1E"/>
          <w:sz w:val="22"/>
          <w:szCs w:val="22"/>
        </w:rPr>
        <w:t> grains with straight boundary in composite SG</w:t>
      </w:r>
      <w:r w:rsidRPr="00A8007C">
        <w:rPr>
          <w:rFonts w:asciiTheme="minorHAnsi" w:hAnsiTheme="minorHAnsi"/>
          <w:color w:val="1C1D1E"/>
          <w:sz w:val="22"/>
          <w:szCs w:val="22"/>
          <w:vertAlign w:val="subscript"/>
        </w:rPr>
        <w:t>1</w:t>
      </w:r>
      <w:r w:rsidRPr="00A8007C">
        <w:rPr>
          <w:rFonts w:asciiTheme="minorHAnsi" w:hAnsiTheme="minorHAnsi"/>
          <w:color w:val="1C1D1E"/>
          <w:sz w:val="22"/>
          <w:szCs w:val="22"/>
        </w:rPr>
        <w:t>. The </w:t>
      </w:r>
      <w:proofErr w:type="spellStart"/>
      <w:r w:rsidRPr="00A8007C">
        <w:rPr>
          <w:rFonts w:asciiTheme="minorHAnsi" w:hAnsiTheme="minorHAnsi"/>
          <w:i/>
          <w:iCs/>
          <w:color w:val="1C1D1E"/>
          <w:sz w:val="22"/>
          <w:szCs w:val="22"/>
        </w:rPr>
        <w:t>M</w:t>
      </w:r>
      <w:r w:rsidRPr="00A8007C">
        <w:rPr>
          <w:rFonts w:asciiTheme="minorHAnsi" w:hAnsiTheme="minorHAnsi"/>
          <w:color w:val="1C1D1E"/>
          <w:sz w:val="22"/>
          <w:szCs w:val="22"/>
          <w:vertAlign w:val="subscript"/>
        </w:rPr>
        <w:t>r</w:t>
      </w:r>
      <w:proofErr w:type="spellEnd"/>
      <w:r w:rsidRPr="00A8007C">
        <w:rPr>
          <w:rFonts w:asciiTheme="minorHAnsi" w:hAnsiTheme="minorHAnsi"/>
          <w:color w:val="1C1D1E"/>
          <w:sz w:val="22"/>
          <w:szCs w:val="22"/>
        </w:rPr>
        <w:t>/</w:t>
      </w:r>
      <w:proofErr w:type="spellStart"/>
      <w:r w:rsidRPr="00A8007C">
        <w:rPr>
          <w:rFonts w:asciiTheme="minorHAnsi" w:hAnsiTheme="minorHAnsi"/>
          <w:i/>
          <w:iCs/>
          <w:color w:val="1C1D1E"/>
          <w:sz w:val="22"/>
          <w:szCs w:val="22"/>
        </w:rPr>
        <w:t>M</w:t>
      </w:r>
      <w:r w:rsidRPr="00A8007C">
        <w:rPr>
          <w:rFonts w:asciiTheme="minorHAnsi" w:hAnsiTheme="minorHAnsi"/>
          <w:color w:val="1C1D1E"/>
          <w:sz w:val="22"/>
          <w:szCs w:val="22"/>
          <w:vertAlign w:val="subscript"/>
        </w:rPr>
        <w:t>s</w:t>
      </w:r>
      <w:proofErr w:type="spellEnd"/>
      <w:r w:rsidRPr="00A8007C">
        <w:rPr>
          <w:rFonts w:asciiTheme="minorHAnsi" w:hAnsiTheme="minorHAnsi"/>
          <w:color w:val="1C1D1E"/>
          <w:sz w:val="22"/>
          <w:szCs w:val="22"/>
        </w:rPr>
        <w:t> value of the composite SG</w:t>
      </w:r>
      <w:r w:rsidRPr="00A8007C">
        <w:rPr>
          <w:rFonts w:asciiTheme="minorHAnsi" w:hAnsiTheme="minorHAnsi"/>
          <w:color w:val="1C1D1E"/>
          <w:sz w:val="22"/>
          <w:szCs w:val="22"/>
          <w:vertAlign w:val="subscript"/>
        </w:rPr>
        <w:t>2</w:t>
      </w:r>
      <w:r w:rsidRPr="00A8007C">
        <w:rPr>
          <w:rFonts w:asciiTheme="minorHAnsi" w:hAnsiTheme="minorHAnsi"/>
          <w:color w:val="1C1D1E"/>
          <w:sz w:val="22"/>
          <w:szCs w:val="22"/>
        </w:rPr>
        <w:t> is closer to 0.5 than that of the composite SG</w:t>
      </w:r>
      <w:r w:rsidRPr="00A8007C">
        <w:rPr>
          <w:rFonts w:asciiTheme="minorHAnsi" w:hAnsiTheme="minorHAnsi"/>
          <w:color w:val="1C1D1E"/>
          <w:sz w:val="22"/>
          <w:szCs w:val="22"/>
          <w:vertAlign w:val="subscript"/>
        </w:rPr>
        <w:t>1</w:t>
      </w:r>
      <w:r w:rsidRPr="00A8007C">
        <w:rPr>
          <w:rFonts w:asciiTheme="minorHAnsi" w:hAnsiTheme="minorHAnsi"/>
          <w:color w:val="1C1D1E"/>
          <w:sz w:val="22"/>
          <w:szCs w:val="22"/>
        </w:rPr>
        <w:t>, indicating the composite SG</w:t>
      </w:r>
      <w:r w:rsidRPr="00A8007C">
        <w:rPr>
          <w:rFonts w:asciiTheme="minorHAnsi" w:hAnsiTheme="minorHAnsi"/>
          <w:color w:val="1C1D1E"/>
          <w:sz w:val="22"/>
          <w:szCs w:val="22"/>
          <w:vertAlign w:val="subscript"/>
        </w:rPr>
        <w:t>2</w:t>
      </w:r>
      <w:r w:rsidRPr="00A8007C">
        <w:rPr>
          <w:rFonts w:asciiTheme="minorHAnsi" w:hAnsiTheme="minorHAnsi"/>
          <w:color w:val="1C1D1E"/>
          <w:sz w:val="22"/>
          <w:szCs w:val="22"/>
        </w:rPr>
        <w:t> possesses more single</w:t>
      </w:r>
      <w:r w:rsidRPr="00A8007C">
        <w:rPr>
          <w:rFonts w:asciiTheme="minorHAnsi" w:hAnsiTheme="minorHAnsi" w:cs="Cambria Math"/>
          <w:color w:val="1C1D1E"/>
          <w:sz w:val="22"/>
          <w:szCs w:val="22"/>
        </w:rPr>
        <w:t>‐</w:t>
      </w:r>
      <w:r w:rsidRPr="00A8007C">
        <w:rPr>
          <w:rFonts w:asciiTheme="minorHAnsi" w:hAnsiTheme="minorHAnsi"/>
          <w:color w:val="1C1D1E"/>
          <w:sz w:val="22"/>
          <w:szCs w:val="22"/>
        </w:rPr>
        <w:t>domain structures and A</w:t>
      </w:r>
      <w:r w:rsidRPr="00A8007C">
        <w:rPr>
          <w:rFonts w:asciiTheme="minorHAnsi" w:hAnsiTheme="minorHAnsi"/>
          <w:color w:val="1C1D1E"/>
          <w:sz w:val="22"/>
          <w:szCs w:val="22"/>
          <w:vertAlign w:val="subscript"/>
        </w:rPr>
        <w:t>0.5</w:t>
      </w:r>
      <w:r w:rsidRPr="00A8007C">
        <w:rPr>
          <w:rFonts w:asciiTheme="minorHAnsi" w:hAnsiTheme="minorHAnsi"/>
          <w:color w:val="1C1D1E"/>
          <w:sz w:val="22"/>
          <w:szCs w:val="22"/>
        </w:rPr>
        <w:t>B</w:t>
      </w:r>
      <w:r w:rsidRPr="00A8007C">
        <w:rPr>
          <w:rFonts w:asciiTheme="minorHAnsi" w:hAnsiTheme="minorHAnsi"/>
          <w:color w:val="1C1D1E"/>
          <w:sz w:val="22"/>
          <w:szCs w:val="22"/>
          <w:vertAlign w:val="subscript"/>
        </w:rPr>
        <w:t>0.5</w:t>
      </w:r>
      <w:r w:rsidRPr="00A8007C">
        <w:rPr>
          <w:rFonts w:asciiTheme="minorHAnsi" w:hAnsiTheme="minorHAnsi"/>
          <w:color w:val="1C1D1E"/>
          <w:sz w:val="22"/>
          <w:szCs w:val="22"/>
        </w:rPr>
        <w:t>C</w:t>
      </w:r>
      <w:r w:rsidRPr="00A8007C">
        <w:rPr>
          <w:rFonts w:asciiTheme="minorHAnsi" w:hAnsiTheme="minorHAnsi"/>
          <w:color w:val="1C1D1E"/>
          <w:sz w:val="22"/>
          <w:szCs w:val="22"/>
          <w:vertAlign w:val="subscript"/>
        </w:rPr>
        <w:t>12</w:t>
      </w:r>
      <w:r w:rsidRPr="00A8007C">
        <w:rPr>
          <w:rFonts w:asciiTheme="minorHAnsi" w:hAnsiTheme="minorHAnsi"/>
          <w:color w:val="1C1D1E"/>
          <w:sz w:val="22"/>
          <w:szCs w:val="22"/>
        </w:rPr>
        <w:t>O</w:t>
      </w:r>
      <w:r w:rsidRPr="00A8007C">
        <w:rPr>
          <w:rFonts w:asciiTheme="minorHAnsi" w:hAnsiTheme="minorHAnsi"/>
          <w:color w:val="1C1D1E"/>
          <w:sz w:val="22"/>
          <w:szCs w:val="22"/>
          <w:vertAlign w:val="subscript"/>
        </w:rPr>
        <w:t>19</w:t>
      </w:r>
      <w:r w:rsidRPr="00A8007C">
        <w:rPr>
          <w:rFonts w:asciiTheme="minorHAnsi" w:hAnsiTheme="minorHAnsi"/>
          <w:color w:val="1C1D1E"/>
          <w:sz w:val="22"/>
          <w:szCs w:val="22"/>
        </w:rPr>
        <w:t> grains are dispersed more homogeneously in SG</w:t>
      </w:r>
      <w:r w:rsidRPr="00A8007C">
        <w:rPr>
          <w:rFonts w:asciiTheme="minorHAnsi" w:hAnsiTheme="minorHAnsi"/>
          <w:color w:val="1C1D1E"/>
          <w:sz w:val="22"/>
          <w:szCs w:val="22"/>
          <w:vertAlign w:val="subscript"/>
        </w:rPr>
        <w:t>2</w:t>
      </w:r>
      <w:r w:rsidRPr="00A8007C">
        <w:rPr>
          <w:rFonts w:asciiTheme="minorHAnsi" w:hAnsiTheme="minorHAnsi"/>
          <w:color w:val="1C1D1E"/>
          <w:sz w:val="22"/>
          <w:szCs w:val="22"/>
        </w:rPr>
        <w:t>compared with the composite SG</w:t>
      </w:r>
      <w:r w:rsidRPr="00A8007C">
        <w:rPr>
          <w:rFonts w:asciiTheme="minorHAnsi" w:hAnsiTheme="minorHAnsi"/>
          <w:color w:val="1C1D1E"/>
          <w:sz w:val="22"/>
          <w:szCs w:val="22"/>
          <w:vertAlign w:val="subscript"/>
        </w:rPr>
        <w:t>1</w:t>
      </w:r>
      <w:r w:rsidRPr="00A8007C">
        <w:rPr>
          <w:rFonts w:asciiTheme="minorHAnsi" w:hAnsiTheme="minorHAnsi"/>
          <w:color w:val="1C1D1E"/>
          <w:sz w:val="22"/>
          <w:szCs w:val="22"/>
        </w:rPr>
        <w:t>. The </w:t>
      </w:r>
      <w:r w:rsidRPr="00A8007C">
        <w:rPr>
          <w:rFonts w:asciiTheme="minorHAnsi" w:hAnsiTheme="minorHAnsi"/>
          <w:i/>
          <w:iCs/>
          <w:color w:val="1C1D1E"/>
          <w:sz w:val="22"/>
          <w:szCs w:val="22"/>
        </w:rPr>
        <w:t>p</w:t>
      </w:r>
      <w:r w:rsidRPr="00A8007C">
        <w:rPr>
          <w:rFonts w:asciiTheme="minorHAnsi" w:hAnsiTheme="minorHAnsi"/>
          <w:color w:val="1C1D1E"/>
          <w:sz w:val="22"/>
          <w:szCs w:val="22"/>
        </w:rPr>
        <w:t> value for CPE</w:t>
      </w:r>
      <w:r w:rsidRPr="00A8007C">
        <w:rPr>
          <w:rFonts w:asciiTheme="minorHAnsi" w:hAnsiTheme="minorHAnsi"/>
          <w:color w:val="1C1D1E"/>
          <w:sz w:val="22"/>
          <w:szCs w:val="22"/>
          <w:vertAlign w:val="subscript"/>
        </w:rPr>
        <w:t>2</w:t>
      </w:r>
      <w:r w:rsidRPr="00A8007C">
        <w:rPr>
          <w:rFonts w:asciiTheme="minorHAnsi" w:hAnsiTheme="minorHAnsi"/>
          <w:color w:val="1C1D1E"/>
          <w:sz w:val="22"/>
          <w:szCs w:val="22"/>
        </w:rPr>
        <w:t> in the composite SG</w:t>
      </w:r>
      <w:r w:rsidRPr="00A8007C">
        <w:rPr>
          <w:rFonts w:asciiTheme="minorHAnsi" w:hAnsiTheme="minorHAnsi"/>
          <w:color w:val="1C1D1E"/>
          <w:sz w:val="22"/>
          <w:szCs w:val="22"/>
          <w:vertAlign w:val="subscript"/>
        </w:rPr>
        <w:t>2</w:t>
      </w:r>
      <w:r w:rsidRPr="00A8007C">
        <w:rPr>
          <w:rFonts w:asciiTheme="minorHAnsi" w:hAnsiTheme="minorHAnsi"/>
          <w:color w:val="1C1D1E"/>
          <w:sz w:val="22"/>
          <w:szCs w:val="22"/>
        </w:rPr>
        <w:t> is higher than that in the composite SG</w:t>
      </w:r>
      <w:r w:rsidRPr="00A8007C">
        <w:rPr>
          <w:rFonts w:asciiTheme="minorHAnsi" w:hAnsiTheme="minorHAnsi"/>
          <w:color w:val="1C1D1E"/>
          <w:sz w:val="22"/>
          <w:szCs w:val="22"/>
          <w:vertAlign w:val="subscript"/>
        </w:rPr>
        <w:t>1</w:t>
      </w:r>
      <w:r w:rsidRPr="00A8007C">
        <w:rPr>
          <w:rFonts w:asciiTheme="minorHAnsi" w:hAnsiTheme="minorHAnsi"/>
          <w:color w:val="1C1D1E"/>
          <w:sz w:val="22"/>
          <w:szCs w:val="22"/>
        </w:rPr>
        <w:t>. According to the universal relaxation law, this result reflects that the boundary between the A</w:t>
      </w:r>
      <w:r w:rsidRPr="00A8007C">
        <w:rPr>
          <w:rFonts w:asciiTheme="minorHAnsi" w:hAnsiTheme="minorHAnsi"/>
          <w:color w:val="1C1D1E"/>
          <w:sz w:val="22"/>
          <w:szCs w:val="22"/>
          <w:vertAlign w:val="subscript"/>
        </w:rPr>
        <w:t>0.5</w:t>
      </w:r>
      <w:r w:rsidRPr="00A8007C">
        <w:rPr>
          <w:rFonts w:asciiTheme="minorHAnsi" w:hAnsiTheme="minorHAnsi"/>
          <w:color w:val="1C1D1E"/>
          <w:sz w:val="22"/>
          <w:szCs w:val="22"/>
        </w:rPr>
        <w:t>B</w:t>
      </w:r>
      <w:r w:rsidRPr="00A8007C">
        <w:rPr>
          <w:rFonts w:asciiTheme="minorHAnsi" w:hAnsiTheme="minorHAnsi"/>
          <w:color w:val="1C1D1E"/>
          <w:sz w:val="22"/>
          <w:szCs w:val="22"/>
          <w:vertAlign w:val="subscript"/>
        </w:rPr>
        <w:t>0.5</w:t>
      </w:r>
      <w:r w:rsidRPr="00A8007C">
        <w:rPr>
          <w:rFonts w:asciiTheme="minorHAnsi" w:hAnsiTheme="minorHAnsi"/>
          <w:color w:val="1C1D1E"/>
          <w:sz w:val="22"/>
          <w:szCs w:val="22"/>
        </w:rPr>
        <w:t>C</w:t>
      </w:r>
      <w:r w:rsidRPr="00A8007C">
        <w:rPr>
          <w:rFonts w:asciiTheme="minorHAnsi" w:hAnsiTheme="minorHAnsi"/>
          <w:color w:val="1C1D1E"/>
          <w:sz w:val="22"/>
          <w:szCs w:val="22"/>
          <w:vertAlign w:val="subscript"/>
        </w:rPr>
        <w:t>12</w:t>
      </w:r>
      <w:r w:rsidRPr="00A8007C">
        <w:rPr>
          <w:rFonts w:asciiTheme="minorHAnsi" w:hAnsiTheme="minorHAnsi"/>
          <w:color w:val="1C1D1E"/>
          <w:sz w:val="22"/>
          <w:szCs w:val="22"/>
        </w:rPr>
        <w:t>O</w:t>
      </w:r>
      <w:r w:rsidRPr="00A8007C">
        <w:rPr>
          <w:rFonts w:asciiTheme="minorHAnsi" w:hAnsiTheme="minorHAnsi"/>
          <w:color w:val="1C1D1E"/>
          <w:sz w:val="22"/>
          <w:szCs w:val="22"/>
          <w:vertAlign w:val="subscript"/>
        </w:rPr>
        <w:t>19</w:t>
      </w:r>
      <w:r w:rsidRPr="00A8007C">
        <w:rPr>
          <w:rFonts w:asciiTheme="minorHAnsi" w:hAnsiTheme="minorHAnsi"/>
          <w:color w:val="1C1D1E"/>
          <w:sz w:val="22"/>
          <w:szCs w:val="22"/>
        </w:rPr>
        <w:t> and 3Y</w:t>
      </w:r>
      <w:r w:rsidRPr="00A8007C">
        <w:rPr>
          <w:rFonts w:asciiTheme="minorHAnsi" w:hAnsiTheme="minorHAnsi" w:cs="Cambria Math"/>
          <w:color w:val="1C1D1E"/>
          <w:sz w:val="22"/>
          <w:szCs w:val="22"/>
        </w:rPr>
        <w:t>‐</w:t>
      </w:r>
      <w:r w:rsidRPr="00A8007C">
        <w:rPr>
          <w:rFonts w:asciiTheme="minorHAnsi" w:hAnsiTheme="minorHAnsi"/>
          <w:color w:val="1C1D1E"/>
          <w:sz w:val="22"/>
          <w:szCs w:val="22"/>
        </w:rPr>
        <w:t>TZP grains in the composite SG</w:t>
      </w:r>
      <w:r w:rsidRPr="00A8007C">
        <w:rPr>
          <w:rFonts w:asciiTheme="minorHAnsi" w:hAnsiTheme="minorHAnsi"/>
          <w:color w:val="1C1D1E"/>
          <w:sz w:val="22"/>
          <w:szCs w:val="22"/>
          <w:vertAlign w:val="subscript"/>
        </w:rPr>
        <w:t>1</w:t>
      </w:r>
      <w:r w:rsidRPr="00A8007C">
        <w:rPr>
          <w:rFonts w:asciiTheme="minorHAnsi" w:hAnsiTheme="minorHAnsi"/>
          <w:color w:val="1C1D1E"/>
          <w:sz w:val="22"/>
          <w:szCs w:val="22"/>
        </w:rPr>
        <w:t> is weak due to the large A</w:t>
      </w:r>
      <w:r w:rsidRPr="00A8007C">
        <w:rPr>
          <w:rFonts w:asciiTheme="minorHAnsi" w:hAnsiTheme="minorHAnsi"/>
          <w:color w:val="1C1D1E"/>
          <w:sz w:val="22"/>
          <w:szCs w:val="22"/>
          <w:vertAlign w:val="subscript"/>
        </w:rPr>
        <w:t>0.5</w:t>
      </w:r>
      <w:r w:rsidRPr="00A8007C">
        <w:rPr>
          <w:rFonts w:asciiTheme="minorHAnsi" w:hAnsiTheme="minorHAnsi"/>
          <w:color w:val="1C1D1E"/>
          <w:sz w:val="22"/>
          <w:szCs w:val="22"/>
        </w:rPr>
        <w:t>B</w:t>
      </w:r>
      <w:r w:rsidRPr="00A8007C">
        <w:rPr>
          <w:rFonts w:asciiTheme="minorHAnsi" w:hAnsiTheme="minorHAnsi"/>
          <w:color w:val="1C1D1E"/>
          <w:sz w:val="22"/>
          <w:szCs w:val="22"/>
          <w:vertAlign w:val="subscript"/>
        </w:rPr>
        <w:t>0.5</w:t>
      </w:r>
      <w:r w:rsidRPr="00A8007C">
        <w:rPr>
          <w:rFonts w:asciiTheme="minorHAnsi" w:hAnsiTheme="minorHAnsi"/>
          <w:color w:val="1C1D1E"/>
          <w:sz w:val="22"/>
          <w:szCs w:val="22"/>
        </w:rPr>
        <w:t>C</w:t>
      </w:r>
      <w:r w:rsidRPr="00A8007C">
        <w:rPr>
          <w:rFonts w:asciiTheme="minorHAnsi" w:hAnsiTheme="minorHAnsi"/>
          <w:color w:val="1C1D1E"/>
          <w:sz w:val="22"/>
          <w:szCs w:val="22"/>
          <w:vertAlign w:val="subscript"/>
        </w:rPr>
        <w:t>12</w:t>
      </w:r>
      <w:r w:rsidRPr="00A8007C">
        <w:rPr>
          <w:rFonts w:asciiTheme="minorHAnsi" w:hAnsiTheme="minorHAnsi"/>
          <w:color w:val="1C1D1E"/>
          <w:sz w:val="22"/>
          <w:szCs w:val="22"/>
        </w:rPr>
        <w:t>O</w:t>
      </w:r>
      <w:r w:rsidRPr="00A8007C">
        <w:rPr>
          <w:rFonts w:asciiTheme="minorHAnsi" w:hAnsiTheme="minorHAnsi"/>
          <w:color w:val="1C1D1E"/>
          <w:sz w:val="22"/>
          <w:szCs w:val="22"/>
          <w:vertAlign w:val="subscript"/>
        </w:rPr>
        <w:t>19</w:t>
      </w:r>
      <w:r w:rsidRPr="00A8007C">
        <w:rPr>
          <w:rFonts w:asciiTheme="minorHAnsi" w:hAnsiTheme="minorHAnsi"/>
          <w:color w:val="1C1D1E"/>
          <w:sz w:val="22"/>
          <w:szCs w:val="22"/>
        </w:rPr>
        <w:t> and fine 3Y</w:t>
      </w:r>
      <w:r w:rsidRPr="00A8007C">
        <w:rPr>
          <w:rFonts w:asciiTheme="minorHAnsi" w:hAnsiTheme="minorHAnsi" w:cs="Cambria Math"/>
          <w:color w:val="1C1D1E"/>
          <w:sz w:val="22"/>
          <w:szCs w:val="22"/>
        </w:rPr>
        <w:t>‐</w:t>
      </w:r>
      <w:r w:rsidRPr="00A8007C">
        <w:rPr>
          <w:rFonts w:asciiTheme="minorHAnsi" w:hAnsiTheme="minorHAnsi"/>
          <w:color w:val="1C1D1E"/>
          <w:sz w:val="22"/>
          <w:szCs w:val="22"/>
        </w:rPr>
        <w:t>TZP grains.</w:t>
      </w:r>
    </w:p>
    <w:p w14:paraId="1166EBD8" w14:textId="65954D41" w:rsidR="002A1F82" w:rsidRDefault="002A1F82"/>
    <w:p w14:paraId="2BC19972" w14:textId="3D28744B" w:rsidR="00A8007C" w:rsidRDefault="00A8007C">
      <w:r>
        <w:br w:type="page"/>
      </w:r>
    </w:p>
    <w:p w14:paraId="397B9C5D" w14:textId="77777777" w:rsidR="00A8007C" w:rsidRDefault="00A8007C"/>
    <w:p w14:paraId="54023ED5" w14:textId="562A6583" w:rsidR="00A8007C" w:rsidRDefault="00A8007C">
      <w:r>
        <w:t>Exercise 3</w:t>
      </w:r>
    </w:p>
    <w:p w14:paraId="6B34D83D" w14:textId="5DD31A88" w:rsidR="00A8007C" w:rsidRDefault="00A8007C">
      <w:r>
        <w:t>Your working area (add pages as needed)</w:t>
      </w:r>
    </w:p>
    <w:p w14:paraId="06ADBFC2" w14:textId="77777777" w:rsidR="00A8007C" w:rsidRDefault="00A8007C">
      <w:r>
        <w:br w:type="page"/>
      </w:r>
    </w:p>
    <w:p w14:paraId="3278C2BA" w14:textId="1BACE347" w:rsidR="00A8007C" w:rsidRDefault="00A8007C"/>
    <w:p w14:paraId="5297D22A" w14:textId="607EBB70" w:rsidR="00A8007C" w:rsidRDefault="00A8007C">
      <w:r>
        <w:t>Exercise 4</w:t>
      </w:r>
    </w:p>
    <w:p w14:paraId="147937EB" w14:textId="77777777" w:rsidR="00A8007C" w:rsidRPr="00A8007C" w:rsidRDefault="00A8007C" w:rsidP="00A8007C">
      <w:pPr>
        <w:rPr>
          <w:b/>
          <w:bCs/>
        </w:rPr>
      </w:pPr>
      <w:r w:rsidRPr="00A8007C">
        <w:rPr>
          <w:b/>
          <w:bCs/>
        </w:rPr>
        <w:t>Novel processing approach to polymer‐derived ceramic matrix composites</w:t>
      </w:r>
    </w:p>
    <w:p w14:paraId="0962E447" w14:textId="081511CF" w:rsidR="00A8007C" w:rsidRDefault="00A8007C" w:rsidP="00A8007C">
      <w:r w:rsidRPr="008A7758">
        <w:t xml:space="preserve">The rheological properties of commercially available </w:t>
      </w:r>
      <w:proofErr w:type="spellStart"/>
      <w:r w:rsidRPr="008A7758">
        <w:t>poly</w:t>
      </w:r>
      <w:r>
        <w:t>X</w:t>
      </w:r>
      <w:proofErr w:type="spellEnd"/>
      <w:r w:rsidRPr="008A7758">
        <w:t xml:space="preserve">, </w:t>
      </w:r>
      <w:r w:rsidRPr="009E059C">
        <w:rPr>
          <w:i/>
          <w:iCs/>
        </w:rPr>
        <w:t>precursor</w:t>
      </w:r>
      <w:r w:rsidRPr="00A8007C">
        <w:rPr>
          <w:vertAlign w:val="superscript"/>
        </w:rPr>
        <w:t>*</w:t>
      </w:r>
      <w:r w:rsidRPr="008A7758">
        <w:t xml:space="preserve">, were analyzed as a function of temperature, to guide development of thermal treatment processes for the improved yield and functionality of polymer ceramic precursors. The curing onset temperature for </w:t>
      </w:r>
      <w:r w:rsidRPr="009E059C">
        <w:rPr>
          <w:i/>
          <w:iCs/>
        </w:rPr>
        <w:t>precursor</w:t>
      </w:r>
      <w:r w:rsidRPr="008A7758">
        <w:t xml:space="preserve"> was determined to be as low as 100°C for a heating rate of 1°C/min enabling a heat treatment process at 90°C, where low molecular weight oligomers volatilize from the liquid precursor prior to curing. By driving off the low molecular weight oligomers before fabrication of a composite, the mass yield of </w:t>
      </w:r>
      <w:r w:rsidRPr="009E059C">
        <w:rPr>
          <w:i/>
          <w:iCs/>
        </w:rPr>
        <w:t>precursor</w:t>
      </w:r>
      <w:r w:rsidRPr="008A7758">
        <w:t xml:space="preserve">, from a room temperature liquid state was increased from 77% to 83%. The development of B‐staging processes, or a </w:t>
      </w:r>
      <w:proofErr w:type="spellStart"/>
      <w:r w:rsidRPr="008A7758">
        <w:t>semicure</w:t>
      </w:r>
      <w:proofErr w:type="spellEnd"/>
      <w:r w:rsidRPr="008A7758">
        <w:t xml:space="preserve"> of </w:t>
      </w:r>
      <w:r w:rsidRPr="009E059C">
        <w:rPr>
          <w:i/>
          <w:iCs/>
        </w:rPr>
        <w:t>precursor</w:t>
      </w:r>
      <w:r w:rsidRPr="008A7758">
        <w:t>, were also demonstrated. B‐staging processes were then applied to polymer infiltration and pyrolysis processing and compared with traditional wet layup CMC processing. It was determined that B‐staging processes did not adversely affect ceramic matrix composite fabrication. B‐staged processing methods were determined to result in less waste, allow ply‐by‐ply control of matrix compositions, and enable time independent processing when compared to traditional wet layup processing methods.</w:t>
      </w:r>
    </w:p>
    <w:p w14:paraId="09D00792" w14:textId="45D2DC01" w:rsidR="00A8007C" w:rsidRDefault="00A8007C" w:rsidP="00A8007C">
      <w:r w:rsidRPr="00A8007C">
        <w:rPr>
          <w:vertAlign w:val="superscript"/>
        </w:rPr>
        <w:t>*</w:t>
      </w:r>
      <w:r w:rsidRPr="00A8007C">
        <w:rPr>
          <w:i/>
          <w:iCs/>
        </w:rPr>
        <w:t>Precursor</w:t>
      </w:r>
      <w:r>
        <w:t xml:space="preserve"> is the specific trade name for the product used in the study. </w:t>
      </w:r>
    </w:p>
    <w:p w14:paraId="7E050CDD" w14:textId="77777777" w:rsidR="00A8007C" w:rsidRDefault="00A8007C" w:rsidP="00A8007C"/>
    <w:p w14:paraId="31DC2A39" w14:textId="454EE070" w:rsidR="00A8007C" w:rsidRDefault="00A8007C" w:rsidP="00A8007C">
      <w:r>
        <w:t xml:space="preserve">Keywords: </w:t>
      </w:r>
      <w:r w:rsidRPr="008A7758">
        <w:t>ceramic matrix composites microstructure pre‐ceramic polymers silicon carbide</w:t>
      </w:r>
    </w:p>
    <w:p w14:paraId="664C898C" w14:textId="77777777" w:rsidR="00A8007C" w:rsidRDefault="00A8007C" w:rsidP="00A8007C"/>
    <w:p w14:paraId="2145AC95" w14:textId="77777777" w:rsidR="00A8007C" w:rsidRDefault="00A8007C" w:rsidP="00A8007C">
      <w:r>
        <w:t>Conclusions</w:t>
      </w:r>
    </w:p>
    <w:p w14:paraId="08FA991D" w14:textId="2E3E7C30" w:rsidR="00A8007C" w:rsidRDefault="00A8007C" w:rsidP="00A8007C">
      <w:r w:rsidRPr="008A7758">
        <w:t xml:space="preserve">Rheological measurements were used to identify the onset of curing, at a heating rate of 1°C/min, where increases in the viscosity of </w:t>
      </w:r>
      <w:r w:rsidRPr="009E059C">
        <w:rPr>
          <w:i/>
          <w:iCs/>
        </w:rPr>
        <w:t>precursor</w:t>
      </w:r>
      <w:r w:rsidRPr="008A7758">
        <w:t xml:space="preserve"> indicated that curing of </w:t>
      </w:r>
      <w:r w:rsidRPr="009E059C">
        <w:rPr>
          <w:i/>
          <w:iCs/>
        </w:rPr>
        <w:t>precursor</w:t>
      </w:r>
      <w:r w:rsidRPr="008A7758">
        <w:t xml:space="preserve"> could be accomplished as low as 100°C. Based on rheological measurements, TGA experiments revealed that </w:t>
      </w:r>
      <w:r w:rsidRPr="009E059C">
        <w:rPr>
          <w:i/>
          <w:iCs/>
        </w:rPr>
        <w:t>precursor</w:t>
      </w:r>
      <w:r w:rsidRPr="008A7758">
        <w:t xml:space="preserve"> could be heat‐treated for a time of 10 hours at 90°C, while preventing curing. Vacuum oven heat treatment process resulted in a mass yield of 83% and 81% for heat‐treated </w:t>
      </w:r>
      <w:r w:rsidRPr="009E059C">
        <w:rPr>
          <w:i/>
          <w:iCs/>
        </w:rPr>
        <w:t>precursor</w:t>
      </w:r>
      <w:r w:rsidRPr="008A7758">
        <w:t xml:space="preserve">, compared with 77% and 72% for two different lots of as‐received </w:t>
      </w:r>
      <w:r w:rsidRPr="009E059C">
        <w:rPr>
          <w:i/>
          <w:iCs/>
        </w:rPr>
        <w:t>precursor</w:t>
      </w:r>
      <w:r w:rsidRPr="008A7758">
        <w:t xml:space="preserve">. GPC revealed that low molecular weight oligomers can be volatilized at temperatures below the onset of curing, and that variations between the MW distribution of </w:t>
      </w:r>
      <w:r w:rsidRPr="009E059C">
        <w:rPr>
          <w:i/>
          <w:iCs/>
        </w:rPr>
        <w:t>precursor</w:t>
      </w:r>
      <w:r w:rsidRPr="008A7758">
        <w:t xml:space="preserve"> will affect the heat treatment behavior. Understanding of the low temperature behavior of </w:t>
      </w:r>
      <w:r w:rsidRPr="009E059C">
        <w:rPr>
          <w:i/>
          <w:iCs/>
        </w:rPr>
        <w:t>precursor</w:t>
      </w:r>
      <w:r w:rsidRPr="008A7758">
        <w:t xml:space="preserve"> guided the development of a B‐staging process, where the use of a B‐staged </w:t>
      </w:r>
      <w:r w:rsidRPr="009E059C">
        <w:rPr>
          <w:i/>
          <w:iCs/>
        </w:rPr>
        <w:t>precursor</w:t>
      </w:r>
      <w:r w:rsidRPr="008A7758">
        <w:t xml:space="preserve"> allowed processing styles </w:t>
      </w:r>
      <w:proofErr w:type="gramStart"/>
      <w:r w:rsidRPr="008A7758">
        <w:t>similar to</w:t>
      </w:r>
      <w:proofErr w:type="gramEnd"/>
      <w:r w:rsidRPr="008A7758">
        <w:t xml:space="preserve"> polymer matrix composites, rather than conventional wet CMC layup processing. It was concluded that B‐staging did not adversely affect the PIP processing of CMCs. Advantages of B‐staged processing included less waste, where loss of slurry was observed from the wet processed laminate but not B‐staged laminate; ply‐by‐ply control of the matrix composition, where mixing of powders was observed at ply boundaries in the wet processed laminate but the designed matrix architecture was retained in the B‐staged laminate; and time independent processing, where segregation of HfB2 was observed in the wet processed laminate.</w:t>
      </w:r>
    </w:p>
    <w:p w14:paraId="10D09DDE" w14:textId="22CB74DF" w:rsidR="00A8007C" w:rsidRDefault="00A8007C">
      <w:r>
        <w:br w:type="page"/>
      </w:r>
    </w:p>
    <w:p w14:paraId="724F48C7" w14:textId="66A7FC37" w:rsidR="00A8007C" w:rsidRDefault="00A8007C" w:rsidP="00A8007C"/>
    <w:p w14:paraId="5583C8FC" w14:textId="02285E5C" w:rsidR="00A8007C" w:rsidRDefault="00A8007C" w:rsidP="00A8007C">
      <w:r>
        <w:t>Working area for exercise 4</w:t>
      </w:r>
    </w:p>
    <w:p w14:paraId="300A4155" w14:textId="77777777" w:rsidR="00A8007C" w:rsidRPr="00A8007C" w:rsidRDefault="00A8007C"/>
    <w:sectPr w:rsidR="00A8007C" w:rsidRPr="00A8007C" w:rsidSect="002A1F82">
      <w:headerReference w:type="even" r:id="rId7"/>
      <w:headerReference w:type="default" r:id="rId8"/>
      <w:footerReference w:type="even" r:id="rId9"/>
      <w:footerReference w:type="default" r:id="rId10"/>
      <w:headerReference w:type="first" r:id="rId11"/>
      <w:footerReference w:type="first" r:id="rId12"/>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B487A" w14:textId="77777777" w:rsidR="007D6ACB" w:rsidRDefault="007D6ACB" w:rsidP="002A1F82">
      <w:pPr>
        <w:spacing w:after="0" w:line="240" w:lineRule="auto"/>
      </w:pPr>
      <w:r>
        <w:separator/>
      </w:r>
    </w:p>
  </w:endnote>
  <w:endnote w:type="continuationSeparator" w:id="0">
    <w:p w14:paraId="500DE315" w14:textId="77777777" w:rsidR="007D6ACB" w:rsidRDefault="007D6ACB" w:rsidP="002A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8F354" w14:textId="77777777" w:rsidR="00D120FA" w:rsidRDefault="00D12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EA9D" w14:textId="77777777" w:rsidR="00D120FA" w:rsidRDefault="00D120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6DAAE" w14:textId="77777777" w:rsidR="00D120FA" w:rsidRDefault="00D12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1205C" w14:textId="77777777" w:rsidR="007D6ACB" w:rsidRDefault="007D6ACB" w:rsidP="002A1F82">
      <w:pPr>
        <w:spacing w:after="0" w:line="240" w:lineRule="auto"/>
      </w:pPr>
      <w:r>
        <w:separator/>
      </w:r>
    </w:p>
  </w:footnote>
  <w:footnote w:type="continuationSeparator" w:id="0">
    <w:p w14:paraId="6ECD9BBB" w14:textId="77777777" w:rsidR="007D6ACB" w:rsidRDefault="007D6ACB" w:rsidP="002A1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DB919" w14:textId="77777777" w:rsidR="00D120FA" w:rsidRDefault="00D12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A1684" w14:textId="05A85518" w:rsidR="002A1F82" w:rsidRDefault="002A1F82">
    <w:pPr>
      <w:pStyle w:val="Header"/>
    </w:pPr>
    <w:bookmarkStart w:id="0" w:name="_Hlk62212886"/>
    <w:bookmarkStart w:id="1" w:name="_Hlk62212887"/>
    <w:bookmarkStart w:id="2" w:name="_GoBack"/>
    <w:r w:rsidRPr="002A1F82">
      <w:drawing>
        <wp:anchor distT="0" distB="0" distL="114300" distR="114300" simplePos="0" relativeHeight="251659264" behindDoc="0" locked="0" layoutInCell="1" allowOverlap="1" wp14:anchorId="25D51B24" wp14:editId="36BCD30F">
          <wp:simplePos x="0" y="0"/>
          <wp:positionH relativeFrom="column">
            <wp:posOffset>5196840</wp:posOffset>
          </wp:positionH>
          <wp:positionV relativeFrom="paragraph">
            <wp:posOffset>15240</wp:posOffset>
          </wp:positionV>
          <wp:extent cx="1096292" cy="229977"/>
          <wp:effectExtent l="0" t="0" r="889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1096292" cy="229977"/>
                  </a:xfrm>
                  <a:prstGeom prst="rect">
                    <a:avLst/>
                  </a:prstGeom>
                </pic:spPr>
              </pic:pic>
            </a:graphicData>
          </a:graphic>
        </wp:anchor>
      </w:drawing>
    </w:r>
    <w:r w:rsidRPr="002A1F82">
      <w:drawing>
        <wp:anchor distT="0" distB="0" distL="114300" distR="114300" simplePos="0" relativeHeight="251658240" behindDoc="1" locked="0" layoutInCell="1" allowOverlap="1" wp14:anchorId="29AF69E7" wp14:editId="6B31FF87">
          <wp:simplePos x="0" y="0"/>
          <wp:positionH relativeFrom="column">
            <wp:posOffset>-426720</wp:posOffset>
          </wp:positionH>
          <wp:positionV relativeFrom="paragraph">
            <wp:posOffset>-190500</wp:posOffset>
          </wp:positionV>
          <wp:extent cx="1619885" cy="647700"/>
          <wp:effectExtent l="0" t="0" r="0" b="0"/>
          <wp:wrapNone/>
          <wp:docPr id="5" name="Picture 5" descr="Logo&#10;&#10;Description automatically generated">
            <a:extLst xmlns:a="http://schemas.openxmlformats.org/drawingml/2006/main">
              <a:ext uri="{FF2B5EF4-FFF2-40B4-BE49-F238E27FC236}">
                <a16:creationId xmlns:a16="http://schemas.microsoft.com/office/drawing/2014/main" id="{28A72463-4BBB-4874-A45A-AE445EEFCE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28A72463-4BBB-4874-A45A-AE445EEFCE8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19885" cy="647700"/>
                  </a:xfrm>
                  <a:prstGeom prst="rect">
                    <a:avLst/>
                  </a:prstGeom>
                </pic:spPr>
              </pic:pic>
            </a:graphicData>
          </a:graphic>
        </wp:anchor>
      </w:drawing>
    </w:r>
    <w:bookmarkEnd w:id="0"/>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B270" w14:textId="77777777" w:rsidR="00D120FA" w:rsidRDefault="00D12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0A9"/>
    <w:multiLevelType w:val="hybridMultilevel"/>
    <w:tmpl w:val="54E8A6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A133E7"/>
    <w:multiLevelType w:val="hybridMultilevel"/>
    <w:tmpl w:val="EE888B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82"/>
    <w:rsid w:val="002A1F82"/>
    <w:rsid w:val="0068377E"/>
    <w:rsid w:val="007D6ACB"/>
    <w:rsid w:val="00A03D20"/>
    <w:rsid w:val="00A8007C"/>
    <w:rsid w:val="00B62389"/>
    <w:rsid w:val="00D120FA"/>
    <w:rsid w:val="00D829AA"/>
    <w:rsid w:val="00EA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C8891"/>
  <w15:chartTrackingRefBased/>
  <w15:docId w15:val="{1B1DF28A-5D03-4E46-83A2-032FBA91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800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F82"/>
  </w:style>
  <w:style w:type="paragraph" w:styleId="Footer">
    <w:name w:val="footer"/>
    <w:basedOn w:val="Normal"/>
    <w:link w:val="FooterChar"/>
    <w:uiPriority w:val="99"/>
    <w:unhideWhenUsed/>
    <w:rsid w:val="002A1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F82"/>
  </w:style>
  <w:style w:type="paragraph" w:styleId="NormalWeb">
    <w:name w:val="Normal (Web)"/>
    <w:basedOn w:val="Normal"/>
    <w:uiPriority w:val="99"/>
    <w:unhideWhenUsed/>
    <w:rsid w:val="002A1F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1F82"/>
    <w:pPr>
      <w:ind w:leftChars="400" w:left="800"/>
    </w:pPr>
    <w:rPr>
      <w:rFonts w:eastAsiaTheme="minorEastAsia"/>
    </w:rPr>
  </w:style>
  <w:style w:type="character" w:customStyle="1" w:styleId="Heading2Char">
    <w:name w:val="Heading 2 Char"/>
    <w:basedOn w:val="DefaultParagraphFont"/>
    <w:link w:val="Heading2"/>
    <w:uiPriority w:val="9"/>
    <w:rsid w:val="00A8007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212113">
      <w:bodyDiv w:val="1"/>
      <w:marLeft w:val="0"/>
      <w:marRight w:val="0"/>
      <w:marTop w:val="0"/>
      <w:marBottom w:val="0"/>
      <w:divBdr>
        <w:top w:val="none" w:sz="0" w:space="0" w:color="auto"/>
        <w:left w:val="none" w:sz="0" w:space="0" w:color="auto"/>
        <w:bottom w:val="none" w:sz="0" w:space="0" w:color="auto"/>
        <w:right w:val="none" w:sz="0" w:space="0" w:color="auto"/>
      </w:divBdr>
    </w:div>
    <w:div w:id="103593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954</TotalTime>
  <Pages>7</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Foreman</dc:creator>
  <cp:keywords/>
  <dc:description/>
  <cp:lastModifiedBy>Jonathon</cp:lastModifiedBy>
  <cp:revision>2</cp:revision>
  <dcterms:created xsi:type="dcterms:W3CDTF">2021-01-22T00:24:00Z</dcterms:created>
  <dcterms:modified xsi:type="dcterms:W3CDTF">2021-01-22T19:05:00Z</dcterms:modified>
</cp:coreProperties>
</file>